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7CFD" w14:textId="0EE9E824" w:rsidR="0029493C" w:rsidRDefault="0029493C" w:rsidP="006B799E">
      <w:pPr>
        <w:pStyle w:val="Title"/>
      </w:pPr>
      <w:r>
        <w:t>Minutes</w:t>
      </w:r>
    </w:p>
    <w:p w14:paraId="146EE630" w14:textId="77777777" w:rsidR="00603312" w:rsidRPr="00613B39" w:rsidRDefault="00603312" w:rsidP="00613B39">
      <w:pPr>
        <w:pStyle w:val="Heading1"/>
        <w:rPr>
          <w:color w:val="auto"/>
        </w:rPr>
      </w:pPr>
      <w:r w:rsidRPr="00613B39">
        <w:rPr>
          <w:color w:val="auto"/>
        </w:rPr>
        <w:t xml:space="preserve">CAETS Communication Committee </w:t>
      </w:r>
    </w:p>
    <w:p w14:paraId="64B19D92" w14:textId="60DB9825" w:rsidR="00582CF8" w:rsidRPr="00613B39" w:rsidRDefault="00582CF8" w:rsidP="00582CF8">
      <w:pPr>
        <w:pStyle w:val="Heading1"/>
        <w:rPr>
          <w:color w:val="auto"/>
        </w:rPr>
      </w:pPr>
      <w:r w:rsidRPr="00613B39">
        <w:rPr>
          <w:color w:val="auto"/>
        </w:rPr>
        <w:t xml:space="preserve">Tuesday </w:t>
      </w:r>
      <w:r w:rsidR="00BF5CFA">
        <w:rPr>
          <w:color w:val="auto"/>
        </w:rPr>
        <w:t>21</w:t>
      </w:r>
      <w:r w:rsidR="00BF5CFA" w:rsidRPr="00613B39">
        <w:rPr>
          <w:color w:val="auto"/>
        </w:rPr>
        <w:t xml:space="preserve"> </w:t>
      </w:r>
      <w:r w:rsidR="00BF5CFA">
        <w:rPr>
          <w:color w:val="auto"/>
        </w:rPr>
        <w:t>February</w:t>
      </w:r>
      <w:r w:rsidR="00BF5CFA" w:rsidRPr="00613B39">
        <w:rPr>
          <w:color w:val="auto"/>
        </w:rPr>
        <w:t xml:space="preserve"> </w:t>
      </w:r>
      <w:r w:rsidRPr="00613B39">
        <w:rPr>
          <w:color w:val="auto"/>
        </w:rPr>
        <w:t>2023</w:t>
      </w:r>
    </w:p>
    <w:p w14:paraId="76B3DE55" w14:textId="6E92DCD0" w:rsidR="0029493C" w:rsidRDefault="0029493C"/>
    <w:p w14:paraId="480A4D41" w14:textId="04D3149C" w:rsidR="005C7F20" w:rsidRDefault="005C7F20" w:rsidP="00613B39">
      <w:pPr>
        <w:pStyle w:val="Heading2"/>
      </w:pPr>
      <w:r>
        <w:t xml:space="preserve">Meeting </w:t>
      </w:r>
      <w:r w:rsidRPr="00613B39">
        <w:t>details</w:t>
      </w:r>
    </w:p>
    <w:tbl>
      <w:tblPr>
        <w:tblStyle w:val="TableGrid"/>
        <w:tblW w:w="0" w:type="auto"/>
        <w:tblLook w:val="04A0" w:firstRow="1" w:lastRow="0" w:firstColumn="1" w:lastColumn="0" w:noHBand="0" w:noVBand="1"/>
      </w:tblPr>
      <w:tblGrid>
        <w:gridCol w:w="2405"/>
        <w:gridCol w:w="6611"/>
      </w:tblGrid>
      <w:tr w:rsidR="0029493C" w:rsidRPr="0029493C" w14:paraId="45A4AEA1" w14:textId="77777777" w:rsidTr="0029493C">
        <w:tc>
          <w:tcPr>
            <w:tcW w:w="2405" w:type="dxa"/>
          </w:tcPr>
          <w:p w14:paraId="78983EB5" w14:textId="5AC55E6F" w:rsidR="0029493C" w:rsidRPr="009E58E6" w:rsidRDefault="006B799E">
            <w:pPr>
              <w:rPr>
                <w:b/>
                <w:bCs/>
              </w:rPr>
            </w:pPr>
            <w:r>
              <w:rPr>
                <w:b/>
                <w:bCs/>
              </w:rPr>
              <w:t>Location</w:t>
            </w:r>
          </w:p>
        </w:tc>
        <w:tc>
          <w:tcPr>
            <w:tcW w:w="6611" w:type="dxa"/>
          </w:tcPr>
          <w:p w14:paraId="03AAAC67" w14:textId="6368BB40" w:rsidR="0029493C" w:rsidRPr="009E58E6" w:rsidRDefault="0029493C">
            <w:r w:rsidRPr="009E58E6">
              <w:t xml:space="preserve">Online via </w:t>
            </w:r>
            <w:r w:rsidR="002C6D05">
              <w:t>Teams</w:t>
            </w:r>
          </w:p>
        </w:tc>
      </w:tr>
      <w:tr w:rsidR="006B799E" w:rsidRPr="0029493C" w14:paraId="42D79DFE" w14:textId="77777777" w:rsidTr="0029493C">
        <w:tc>
          <w:tcPr>
            <w:tcW w:w="2405" w:type="dxa"/>
          </w:tcPr>
          <w:p w14:paraId="52E2721B" w14:textId="2238E953" w:rsidR="006B799E" w:rsidRDefault="006B799E">
            <w:pPr>
              <w:rPr>
                <w:b/>
                <w:bCs/>
              </w:rPr>
            </w:pPr>
            <w:r>
              <w:rPr>
                <w:b/>
                <w:bCs/>
              </w:rPr>
              <w:t>Date &amp; Time</w:t>
            </w:r>
          </w:p>
        </w:tc>
        <w:tc>
          <w:tcPr>
            <w:tcW w:w="6611" w:type="dxa"/>
          </w:tcPr>
          <w:p w14:paraId="22497F45" w14:textId="43E47119" w:rsidR="006B799E" w:rsidRDefault="006B799E">
            <w:r>
              <w:t xml:space="preserve">Tuesday </w:t>
            </w:r>
            <w:r w:rsidR="00BF5CFA">
              <w:t>21 February</w:t>
            </w:r>
          </w:p>
          <w:p w14:paraId="0CE47EF5" w14:textId="77777777" w:rsidR="00935C0E" w:rsidRDefault="00935C0E" w:rsidP="004C28F9">
            <w:pPr>
              <w:pStyle w:val="ListParagraph"/>
              <w:numPr>
                <w:ilvl w:val="0"/>
                <w:numId w:val="16"/>
              </w:numPr>
            </w:pPr>
            <w:r>
              <w:t xml:space="preserve">8.00 Netherlands </w:t>
            </w:r>
          </w:p>
          <w:p w14:paraId="5E957209" w14:textId="5D407565" w:rsidR="00935C0E" w:rsidRDefault="00935C0E" w:rsidP="004C28F9">
            <w:pPr>
              <w:pStyle w:val="ListParagraph"/>
              <w:numPr>
                <w:ilvl w:val="0"/>
                <w:numId w:val="16"/>
              </w:numPr>
            </w:pPr>
            <w:r>
              <w:t>18.00 Australia (AEDT)</w:t>
            </w:r>
          </w:p>
          <w:p w14:paraId="544053B1" w14:textId="5012CCB2" w:rsidR="00935C0E" w:rsidRPr="009E58E6" w:rsidRDefault="00935C0E" w:rsidP="004C28F9">
            <w:pPr>
              <w:pStyle w:val="ListParagraph"/>
              <w:numPr>
                <w:ilvl w:val="0"/>
                <w:numId w:val="16"/>
              </w:numPr>
            </w:pPr>
            <w:r>
              <w:t xml:space="preserve">21.00 </w:t>
            </w:r>
            <w:r w:rsidR="00582CF8">
              <w:t>New Zealand</w:t>
            </w:r>
          </w:p>
        </w:tc>
      </w:tr>
      <w:tr w:rsidR="0029493C" w14:paraId="35E008A8" w14:textId="77777777" w:rsidTr="0029493C">
        <w:tc>
          <w:tcPr>
            <w:tcW w:w="2405" w:type="dxa"/>
          </w:tcPr>
          <w:p w14:paraId="59CC2DB4" w14:textId="3DC1D731" w:rsidR="0029493C" w:rsidRPr="009E58E6" w:rsidRDefault="0029493C">
            <w:pPr>
              <w:rPr>
                <w:b/>
                <w:bCs/>
              </w:rPr>
            </w:pPr>
            <w:r w:rsidRPr="009E58E6">
              <w:rPr>
                <w:b/>
                <w:bCs/>
              </w:rPr>
              <w:t>Attendees</w:t>
            </w:r>
          </w:p>
        </w:tc>
        <w:tc>
          <w:tcPr>
            <w:tcW w:w="6611" w:type="dxa"/>
          </w:tcPr>
          <w:p w14:paraId="3118D8E2" w14:textId="77777777" w:rsidR="009E58E6" w:rsidRPr="009E58E6" w:rsidRDefault="009E58E6">
            <w:pPr>
              <w:rPr>
                <w:b/>
                <w:bCs/>
              </w:rPr>
            </w:pPr>
            <w:r w:rsidRPr="009E58E6">
              <w:rPr>
                <w:b/>
                <w:bCs/>
              </w:rPr>
              <w:t>Committee leadership</w:t>
            </w:r>
          </w:p>
          <w:p w14:paraId="5EC3F0AF" w14:textId="25BFF5CA" w:rsidR="0029493C" w:rsidRDefault="005F0B8F">
            <w:r w:rsidRPr="005F0B8F">
              <w:rPr>
                <w:u w:val="single"/>
              </w:rPr>
              <w:t>Chair</w:t>
            </w:r>
            <w:r>
              <w:t xml:space="preserve"> - </w:t>
            </w:r>
            <w:r w:rsidR="0029493C">
              <w:t xml:space="preserve">Lucas </w:t>
            </w:r>
            <w:r w:rsidR="00F72712">
              <w:t>Noldus</w:t>
            </w:r>
            <w:r w:rsidR="00D5779E">
              <w:t xml:space="preserve"> – Netherlands Academy of Technology and Innovation (</w:t>
            </w:r>
            <w:proofErr w:type="spellStart"/>
            <w:r w:rsidR="00D5779E">
              <w:t>AcTI</w:t>
            </w:r>
            <w:proofErr w:type="spellEnd"/>
            <w:r w:rsidR="00D5779E">
              <w:t>)</w:t>
            </w:r>
          </w:p>
          <w:p w14:paraId="30C5FEBE" w14:textId="694D01C8" w:rsidR="009E58E6" w:rsidRDefault="005F0B8F">
            <w:r w:rsidRPr="005F0B8F">
              <w:rPr>
                <w:u w:val="single"/>
              </w:rPr>
              <w:t>Deputy Chair</w:t>
            </w:r>
            <w:r>
              <w:t xml:space="preserve"> - </w:t>
            </w:r>
            <w:r w:rsidR="009E58E6">
              <w:t xml:space="preserve">Cather Simpson – RSNZ </w:t>
            </w:r>
          </w:p>
          <w:p w14:paraId="750830D5" w14:textId="0BF8654D" w:rsidR="009E58E6" w:rsidRPr="009E58E6" w:rsidRDefault="009E58E6">
            <w:pPr>
              <w:rPr>
                <w:b/>
                <w:bCs/>
              </w:rPr>
            </w:pPr>
            <w:r w:rsidRPr="009E58E6">
              <w:rPr>
                <w:b/>
                <w:bCs/>
              </w:rPr>
              <w:t>Secretariat support (ATSE)</w:t>
            </w:r>
          </w:p>
          <w:p w14:paraId="4AD13DBD" w14:textId="77777777" w:rsidR="009E58E6" w:rsidRDefault="009E58E6">
            <w:r>
              <w:t>Cath Latham – ATSE (Director, International Affairs)</w:t>
            </w:r>
          </w:p>
          <w:p w14:paraId="44F13B6C" w14:textId="56F1DCA8" w:rsidR="00BF5CFA" w:rsidRDefault="00BF5CFA">
            <w:r>
              <w:t>Kylie Walker – ATSE (CEO)</w:t>
            </w:r>
            <w:r w:rsidR="002D0E63">
              <w:t xml:space="preserve"> – </w:t>
            </w:r>
            <w:r w:rsidR="002D0E63" w:rsidRPr="005A031C">
              <w:rPr>
                <w:i/>
                <w:iCs/>
              </w:rPr>
              <w:t xml:space="preserve">joined at </w:t>
            </w:r>
            <w:r w:rsidR="000800AF" w:rsidRPr="005A031C">
              <w:rPr>
                <w:i/>
                <w:iCs/>
              </w:rPr>
              <w:t xml:space="preserve">agenda </w:t>
            </w:r>
            <w:r w:rsidR="002D0E63" w:rsidRPr="005A031C">
              <w:rPr>
                <w:i/>
                <w:iCs/>
              </w:rPr>
              <w:t xml:space="preserve">item </w:t>
            </w:r>
            <w:r w:rsidR="000800AF" w:rsidRPr="005A031C">
              <w:rPr>
                <w:i/>
                <w:iCs/>
              </w:rPr>
              <w:t>4</w:t>
            </w:r>
          </w:p>
          <w:p w14:paraId="09023CB8" w14:textId="0F424FFD" w:rsidR="009E58E6" w:rsidRDefault="009E58E6"/>
        </w:tc>
      </w:tr>
      <w:tr w:rsidR="002C0833" w14:paraId="426D82A7" w14:textId="77777777" w:rsidTr="0029493C">
        <w:tc>
          <w:tcPr>
            <w:tcW w:w="2405" w:type="dxa"/>
          </w:tcPr>
          <w:p w14:paraId="35956178" w14:textId="414D9317" w:rsidR="002C0833" w:rsidRPr="009E58E6" w:rsidRDefault="002C0833">
            <w:pPr>
              <w:rPr>
                <w:b/>
                <w:bCs/>
              </w:rPr>
            </w:pPr>
            <w:r>
              <w:rPr>
                <w:b/>
                <w:bCs/>
              </w:rPr>
              <w:t>Apologies</w:t>
            </w:r>
          </w:p>
        </w:tc>
        <w:tc>
          <w:tcPr>
            <w:tcW w:w="6611" w:type="dxa"/>
          </w:tcPr>
          <w:p w14:paraId="3EC90FBC" w14:textId="2DD3A6AC" w:rsidR="002C0833" w:rsidRPr="00E977CB" w:rsidRDefault="00BF5CFA">
            <w:r>
              <w:t>Aidan Muirhead – ATSE (Acting Director, Communications and Outreach</w:t>
            </w:r>
            <w:r w:rsidR="005A031C">
              <w:t>)</w:t>
            </w:r>
          </w:p>
        </w:tc>
      </w:tr>
    </w:tbl>
    <w:p w14:paraId="6312D90D" w14:textId="77777777" w:rsidR="0029493C" w:rsidRDefault="0029493C"/>
    <w:p w14:paraId="7CED1A07" w14:textId="71376150" w:rsidR="005C7F20" w:rsidRDefault="005C7F20" w:rsidP="00613B39">
      <w:pPr>
        <w:pStyle w:val="Heading2"/>
      </w:pPr>
      <w:r>
        <w:t>Summary of Actions</w:t>
      </w:r>
    </w:p>
    <w:tbl>
      <w:tblPr>
        <w:tblStyle w:val="TableGrid"/>
        <w:tblW w:w="0" w:type="auto"/>
        <w:tblLook w:val="04A0" w:firstRow="1" w:lastRow="0" w:firstColumn="1" w:lastColumn="0" w:noHBand="0" w:noVBand="1"/>
      </w:tblPr>
      <w:tblGrid>
        <w:gridCol w:w="342"/>
        <w:gridCol w:w="4189"/>
        <w:gridCol w:w="2127"/>
        <w:gridCol w:w="2358"/>
      </w:tblGrid>
      <w:tr w:rsidR="004C28F9" w:rsidRPr="005A031C" w14:paraId="071DC9EA" w14:textId="1AD92B50" w:rsidTr="004C28F9">
        <w:tc>
          <w:tcPr>
            <w:tcW w:w="342" w:type="dxa"/>
            <w:shd w:val="clear" w:color="auto" w:fill="4472C4" w:themeFill="accent1"/>
          </w:tcPr>
          <w:p w14:paraId="1402888D" w14:textId="6CB35C58" w:rsidR="00613B39" w:rsidRPr="004C28F9" w:rsidRDefault="00613B39" w:rsidP="0013074F">
            <w:pPr>
              <w:rPr>
                <w:b/>
                <w:bCs/>
                <w:color w:val="FFFFFF" w:themeColor="background1"/>
              </w:rPr>
            </w:pPr>
          </w:p>
        </w:tc>
        <w:tc>
          <w:tcPr>
            <w:tcW w:w="4189" w:type="dxa"/>
            <w:shd w:val="clear" w:color="auto" w:fill="4472C4" w:themeFill="accent1"/>
          </w:tcPr>
          <w:p w14:paraId="403D34C2" w14:textId="6B4EB6A0" w:rsidR="00613B39" w:rsidRPr="005A031C" w:rsidRDefault="00613B39" w:rsidP="0013074F">
            <w:pPr>
              <w:rPr>
                <w:b/>
                <w:bCs/>
                <w:color w:val="FFFFFF" w:themeColor="background1"/>
              </w:rPr>
            </w:pPr>
            <w:r w:rsidRPr="005A031C">
              <w:rPr>
                <w:b/>
                <w:bCs/>
                <w:color w:val="FFFFFF" w:themeColor="background1"/>
              </w:rPr>
              <w:t>Action</w:t>
            </w:r>
          </w:p>
        </w:tc>
        <w:tc>
          <w:tcPr>
            <w:tcW w:w="2127" w:type="dxa"/>
            <w:shd w:val="clear" w:color="auto" w:fill="4472C4" w:themeFill="accent1"/>
          </w:tcPr>
          <w:p w14:paraId="5A0F719D" w14:textId="1BF35C4B" w:rsidR="00613B39" w:rsidRPr="005A031C" w:rsidRDefault="00613B39" w:rsidP="0013074F">
            <w:pPr>
              <w:rPr>
                <w:b/>
                <w:bCs/>
                <w:color w:val="FFFFFF" w:themeColor="background1"/>
              </w:rPr>
            </w:pPr>
            <w:r w:rsidRPr="005A031C">
              <w:rPr>
                <w:b/>
                <w:bCs/>
                <w:color w:val="FFFFFF" w:themeColor="background1"/>
              </w:rPr>
              <w:t>Responsible Party</w:t>
            </w:r>
          </w:p>
        </w:tc>
        <w:tc>
          <w:tcPr>
            <w:tcW w:w="2358" w:type="dxa"/>
            <w:shd w:val="clear" w:color="auto" w:fill="4472C4" w:themeFill="accent1"/>
          </w:tcPr>
          <w:p w14:paraId="185F5E3A" w14:textId="13B62913" w:rsidR="00613B39" w:rsidRPr="005A031C" w:rsidRDefault="00961C74" w:rsidP="0013074F">
            <w:pPr>
              <w:rPr>
                <w:b/>
                <w:bCs/>
                <w:color w:val="FFFFFF" w:themeColor="background1"/>
              </w:rPr>
            </w:pPr>
            <w:r w:rsidRPr="005A031C">
              <w:rPr>
                <w:b/>
                <w:bCs/>
                <w:color w:val="FFFFFF" w:themeColor="background1"/>
              </w:rPr>
              <w:t xml:space="preserve">Due </w:t>
            </w:r>
          </w:p>
        </w:tc>
      </w:tr>
      <w:tr w:rsidR="00613B39" w:rsidRPr="005A031C" w14:paraId="1D71E180" w14:textId="53590109" w:rsidTr="00F8366F">
        <w:tc>
          <w:tcPr>
            <w:tcW w:w="342" w:type="dxa"/>
          </w:tcPr>
          <w:p w14:paraId="1CD7C01F" w14:textId="20D714EC" w:rsidR="00613B39" w:rsidRPr="005A031C" w:rsidRDefault="00A72DE6" w:rsidP="0013074F">
            <w:r>
              <w:t>1</w:t>
            </w:r>
          </w:p>
        </w:tc>
        <w:tc>
          <w:tcPr>
            <w:tcW w:w="4189" w:type="dxa"/>
          </w:tcPr>
          <w:p w14:paraId="4F8787CF" w14:textId="53F2BFB9" w:rsidR="00DE0A28" w:rsidRPr="00A72DE6" w:rsidRDefault="00A72DE6" w:rsidP="00A72DE6">
            <w:pPr>
              <w:spacing w:after="120"/>
            </w:pPr>
            <w:r w:rsidRPr="00A72DE6">
              <w:t>R</w:t>
            </w:r>
            <w:r w:rsidR="001764A1" w:rsidRPr="00A72DE6">
              <w:t>evise the Communication Prize documentation as per the chair and deputy chair’s requested changes</w:t>
            </w:r>
          </w:p>
        </w:tc>
        <w:tc>
          <w:tcPr>
            <w:tcW w:w="2127" w:type="dxa"/>
          </w:tcPr>
          <w:p w14:paraId="3896243D" w14:textId="5453D1A1" w:rsidR="00613B39" w:rsidRPr="005A031C" w:rsidRDefault="00A95EA3" w:rsidP="0013074F">
            <w:r>
              <w:t>ATSE secretariat</w:t>
            </w:r>
          </w:p>
        </w:tc>
        <w:tc>
          <w:tcPr>
            <w:tcW w:w="2358" w:type="dxa"/>
          </w:tcPr>
          <w:p w14:paraId="1889A8B0" w14:textId="06EEDD07" w:rsidR="00613B39" w:rsidRPr="005A031C" w:rsidRDefault="00A95EA3" w:rsidP="0013074F">
            <w:r>
              <w:t>2</w:t>
            </w:r>
            <w:r w:rsidR="00A72DE6">
              <w:t>-3</w:t>
            </w:r>
            <w:r>
              <w:t xml:space="preserve"> March (include in papers for 9 March meeting)</w:t>
            </w:r>
          </w:p>
        </w:tc>
      </w:tr>
      <w:tr w:rsidR="001764A1" w:rsidRPr="005A031C" w14:paraId="3358BE2A" w14:textId="77777777" w:rsidTr="00F8366F">
        <w:tc>
          <w:tcPr>
            <w:tcW w:w="342" w:type="dxa"/>
          </w:tcPr>
          <w:p w14:paraId="03EF5FB7" w14:textId="764A5847" w:rsidR="001764A1" w:rsidRPr="001B069B" w:rsidRDefault="00A72DE6" w:rsidP="0013074F">
            <w:r w:rsidRPr="001B069B">
              <w:t>2</w:t>
            </w:r>
          </w:p>
        </w:tc>
        <w:tc>
          <w:tcPr>
            <w:tcW w:w="4189" w:type="dxa"/>
          </w:tcPr>
          <w:p w14:paraId="1137AD39" w14:textId="7088DB24" w:rsidR="001764A1" w:rsidRPr="001B069B" w:rsidRDefault="001B069B" w:rsidP="00DE0A28">
            <w:r w:rsidRPr="001B069B">
              <w:t>P</w:t>
            </w:r>
            <w:r w:rsidR="001764A1" w:rsidRPr="001B069B">
              <w:t>rovide the finalised Communication Prize documentation and supporting promotional materials to CAETS secretariat (Ruth David) for distribution to CAETS member academies in mid-March.</w:t>
            </w:r>
          </w:p>
        </w:tc>
        <w:tc>
          <w:tcPr>
            <w:tcW w:w="2127" w:type="dxa"/>
          </w:tcPr>
          <w:p w14:paraId="1FFD30F6" w14:textId="02F0CDD8" w:rsidR="001764A1" w:rsidRPr="005A031C" w:rsidRDefault="00A72DE6" w:rsidP="0013074F">
            <w:r>
              <w:t>ATSE secretariat</w:t>
            </w:r>
          </w:p>
        </w:tc>
        <w:tc>
          <w:tcPr>
            <w:tcW w:w="2358" w:type="dxa"/>
          </w:tcPr>
          <w:p w14:paraId="4F4C0B42" w14:textId="3C9844E9" w:rsidR="001764A1" w:rsidRPr="005A031C" w:rsidRDefault="001B069B" w:rsidP="0013074F">
            <w:r>
              <w:t>After 9 March meeting (with feedback from committee), before end of March</w:t>
            </w:r>
          </w:p>
        </w:tc>
      </w:tr>
      <w:tr w:rsidR="00C74E98" w:rsidRPr="005A031C" w14:paraId="23168B60" w14:textId="77777777" w:rsidTr="00F8366F">
        <w:tc>
          <w:tcPr>
            <w:tcW w:w="342" w:type="dxa"/>
          </w:tcPr>
          <w:p w14:paraId="4BB45637" w14:textId="44680043" w:rsidR="00C74E98" w:rsidRPr="005A031C" w:rsidRDefault="00D62BF6" w:rsidP="0013074F">
            <w:r>
              <w:t>3</w:t>
            </w:r>
          </w:p>
        </w:tc>
        <w:tc>
          <w:tcPr>
            <w:tcW w:w="4189" w:type="dxa"/>
          </w:tcPr>
          <w:p w14:paraId="605C62A1" w14:textId="15ED17C4" w:rsidR="00C74E98" w:rsidRPr="00D62BF6" w:rsidRDefault="00D62BF6" w:rsidP="00DE0A28">
            <w:r w:rsidRPr="00D62BF6">
              <w:t>D</w:t>
            </w:r>
            <w:r w:rsidR="00C74E98" w:rsidRPr="00D62BF6">
              <w:t>raft new section of style guide covering the structure of CAETS committee outputs</w:t>
            </w:r>
          </w:p>
        </w:tc>
        <w:tc>
          <w:tcPr>
            <w:tcW w:w="2127" w:type="dxa"/>
          </w:tcPr>
          <w:p w14:paraId="5340B4D8" w14:textId="4CF9E9C7" w:rsidR="00C74E98" w:rsidRPr="005A031C" w:rsidRDefault="00D62BF6" w:rsidP="0013074F">
            <w:r>
              <w:t>ATSE secretariat</w:t>
            </w:r>
          </w:p>
        </w:tc>
        <w:tc>
          <w:tcPr>
            <w:tcW w:w="2358" w:type="dxa"/>
          </w:tcPr>
          <w:p w14:paraId="7466B40F" w14:textId="2019CBB7" w:rsidR="00C74E98" w:rsidRPr="005A031C" w:rsidRDefault="00D62BF6" w:rsidP="0013074F">
            <w:r>
              <w:t>Ideally, 2-3 March (include in papers for 9 March meeting)</w:t>
            </w:r>
          </w:p>
        </w:tc>
      </w:tr>
      <w:tr w:rsidR="00F50A30" w:rsidRPr="005A031C" w14:paraId="28B63826" w14:textId="77777777" w:rsidTr="00F8366F">
        <w:tc>
          <w:tcPr>
            <w:tcW w:w="342" w:type="dxa"/>
          </w:tcPr>
          <w:p w14:paraId="2588D604" w14:textId="43B578FE" w:rsidR="00F50A30" w:rsidRPr="005A031C" w:rsidRDefault="00855514" w:rsidP="0013074F">
            <w:r>
              <w:t>4</w:t>
            </w:r>
          </w:p>
        </w:tc>
        <w:tc>
          <w:tcPr>
            <w:tcW w:w="4189" w:type="dxa"/>
          </w:tcPr>
          <w:p w14:paraId="0D871306" w14:textId="7194D8DA" w:rsidR="00F50A30" w:rsidRPr="00855514" w:rsidRDefault="00F50A30" w:rsidP="00DE0A28">
            <w:r w:rsidRPr="00855514">
              <w:t>ATSE to send calendar invitations for quarterly meetings to all committee members for the proposed times on 9 March, 8 June, 7 December.</w:t>
            </w:r>
          </w:p>
        </w:tc>
        <w:tc>
          <w:tcPr>
            <w:tcW w:w="2127" w:type="dxa"/>
          </w:tcPr>
          <w:p w14:paraId="11F1902B" w14:textId="66D59E9D" w:rsidR="00F50A30" w:rsidRPr="005A031C" w:rsidRDefault="00855514" w:rsidP="0013074F">
            <w:r>
              <w:t>ATSE secretariat</w:t>
            </w:r>
          </w:p>
        </w:tc>
        <w:tc>
          <w:tcPr>
            <w:tcW w:w="2358" w:type="dxa"/>
          </w:tcPr>
          <w:p w14:paraId="4D186A05" w14:textId="77777777" w:rsidR="00F50A30" w:rsidRDefault="00855514" w:rsidP="0013074F">
            <w:r>
              <w:t>ASAP</w:t>
            </w:r>
          </w:p>
          <w:p w14:paraId="1BA0C685" w14:textId="77777777" w:rsidR="00855514" w:rsidRDefault="00855514" w:rsidP="0013074F"/>
          <w:p w14:paraId="7B3483EE" w14:textId="5F36B53D" w:rsidR="00855514" w:rsidRPr="005A031C" w:rsidRDefault="00855514" w:rsidP="0013074F">
            <w:r>
              <w:t>Note – 9 March meeting in 2 weeks</w:t>
            </w:r>
          </w:p>
        </w:tc>
      </w:tr>
      <w:tr w:rsidR="004F4008" w:rsidRPr="005A031C" w14:paraId="151CDDEA" w14:textId="77777777" w:rsidTr="00F8366F">
        <w:tc>
          <w:tcPr>
            <w:tcW w:w="342" w:type="dxa"/>
          </w:tcPr>
          <w:p w14:paraId="10C91D1D" w14:textId="50D3CBD0" w:rsidR="004F4008" w:rsidRPr="005A031C" w:rsidRDefault="00855514" w:rsidP="0013074F">
            <w:r>
              <w:t>5</w:t>
            </w:r>
          </w:p>
        </w:tc>
        <w:tc>
          <w:tcPr>
            <w:tcW w:w="4189" w:type="dxa"/>
          </w:tcPr>
          <w:p w14:paraId="0E6EA14D" w14:textId="7790573A" w:rsidR="004F4008" w:rsidRPr="00AE6CBF" w:rsidRDefault="00F82708" w:rsidP="004F4008">
            <w:pPr>
              <w:spacing w:after="120"/>
            </w:pPr>
            <w:r w:rsidRPr="00AE6CBF">
              <w:t>F</w:t>
            </w:r>
            <w:r w:rsidR="004F4008" w:rsidRPr="00AE6CBF">
              <w:t>inalise (formatting etc)</w:t>
            </w:r>
            <w:r w:rsidR="00AE6CBF" w:rsidRPr="00AE6CBF">
              <w:t xml:space="preserve"> 9 March</w:t>
            </w:r>
            <w:r w:rsidR="004F4008" w:rsidRPr="00AE6CBF">
              <w:t xml:space="preserve"> </w:t>
            </w:r>
            <w:r w:rsidR="00AE6CBF" w:rsidRPr="00AE6CBF">
              <w:t xml:space="preserve">agenda </w:t>
            </w:r>
            <w:r w:rsidR="004F4008" w:rsidRPr="00AE6CBF">
              <w:t>for distribution to committee members ahead of the meeting</w:t>
            </w:r>
          </w:p>
        </w:tc>
        <w:tc>
          <w:tcPr>
            <w:tcW w:w="2127" w:type="dxa"/>
          </w:tcPr>
          <w:p w14:paraId="452ED08D" w14:textId="2B4ED7B4" w:rsidR="004F4008" w:rsidRPr="005A031C" w:rsidRDefault="00AE6CBF" w:rsidP="0013074F">
            <w:r>
              <w:t>ATSE secretariat</w:t>
            </w:r>
          </w:p>
        </w:tc>
        <w:tc>
          <w:tcPr>
            <w:tcW w:w="2358" w:type="dxa"/>
          </w:tcPr>
          <w:p w14:paraId="3003994D" w14:textId="61639AFD" w:rsidR="004F4008" w:rsidRPr="005A031C" w:rsidRDefault="00AE6CBF" w:rsidP="0013074F">
            <w:r>
              <w:t>By 2 March</w:t>
            </w:r>
          </w:p>
        </w:tc>
      </w:tr>
      <w:tr w:rsidR="004F4008" w:rsidRPr="005A031C" w14:paraId="04B39392" w14:textId="77777777" w:rsidTr="00F8366F">
        <w:tc>
          <w:tcPr>
            <w:tcW w:w="342" w:type="dxa"/>
          </w:tcPr>
          <w:p w14:paraId="15DF3A28" w14:textId="776F53D6" w:rsidR="004F4008" w:rsidRPr="005A031C" w:rsidRDefault="00D446E6" w:rsidP="0013074F">
            <w:r>
              <w:t>6</w:t>
            </w:r>
          </w:p>
        </w:tc>
        <w:tc>
          <w:tcPr>
            <w:tcW w:w="4189" w:type="dxa"/>
          </w:tcPr>
          <w:p w14:paraId="2FC6DD1C" w14:textId="41D9020D" w:rsidR="004F4008" w:rsidRPr="00D446E6" w:rsidRDefault="00D446E6" w:rsidP="00DE0A28">
            <w:r w:rsidRPr="00D446E6">
              <w:t>S</w:t>
            </w:r>
            <w:r w:rsidR="004F4008" w:rsidRPr="00D446E6">
              <w:t>hare the list of committee members with the chairs.</w:t>
            </w:r>
          </w:p>
        </w:tc>
        <w:tc>
          <w:tcPr>
            <w:tcW w:w="2127" w:type="dxa"/>
          </w:tcPr>
          <w:p w14:paraId="7B1D4712" w14:textId="315D2002" w:rsidR="004F4008" w:rsidRPr="005A031C" w:rsidRDefault="00D446E6" w:rsidP="0013074F">
            <w:r>
              <w:t>ATSE secretariat</w:t>
            </w:r>
          </w:p>
        </w:tc>
        <w:tc>
          <w:tcPr>
            <w:tcW w:w="2358" w:type="dxa"/>
          </w:tcPr>
          <w:p w14:paraId="2D3C7DD1" w14:textId="61DF08F7" w:rsidR="004F4008" w:rsidRPr="005A031C" w:rsidRDefault="00D446E6" w:rsidP="0013074F">
            <w:r>
              <w:t>ASAP</w:t>
            </w:r>
          </w:p>
        </w:tc>
      </w:tr>
      <w:tr w:rsidR="00B04B88" w:rsidRPr="005A031C" w14:paraId="27385683" w14:textId="77777777" w:rsidTr="00F8366F">
        <w:tc>
          <w:tcPr>
            <w:tcW w:w="342" w:type="dxa"/>
          </w:tcPr>
          <w:p w14:paraId="2B05B29E" w14:textId="1E980292" w:rsidR="00B04B88" w:rsidRPr="005A031C" w:rsidRDefault="00057141" w:rsidP="0013074F">
            <w:r>
              <w:lastRenderedPageBreak/>
              <w:t>7</w:t>
            </w:r>
          </w:p>
        </w:tc>
        <w:tc>
          <w:tcPr>
            <w:tcW w:w="4189" w:type="dxa"/>
          </w:tcPr>
          <w:p w14:paraId="14A22434" w14:textId="4A0935E3" w:rsidR="00B04B88" w:rsidRPr="00057141" w:rsidRDefault="00057141" w:rsidP="00DE0A28">
            <w:r w:rsidRPr="00057141">
              <w:t>P</w:t>
            </w:r>
            <w:r w:rsidR="00B04B88" w:rsidRPr="00057141">
              <w:t>rovide revised wording for CAETS operating guidelines to CAETS secretariat</w:t>
            </w:r>
          </w:p>
        </w:tc>
        <w:tc>
          <w:tcPr>
            <w:tcW w:w="2127" w:type="dxa"/>
          </w:tcPr>
          <w:p w14:paraId="2B539956" w14:textId="563D3898" w:rsidR="00B04B88" w:rsidRPr="005A031C" w:rsidRDefault="00057141" w:rsidP="0013074F">
            <w:r>
              <w:t>ATSE secretariat</w:t>
            </w:r>
          </w:p>
        </w:tc>
        <w:tc>
          <w:tcPr>
            <w:tcW w:w="2358" w:type="dxa"/>
          </w:tcPr>
          <w:p w14:paraId="412E45CB" w14:textId="0B1BDC26" w:rsidR="00B04B88" w:rsidRPr="005A031C" w:rsidRDefault="00057141" w:rsidP="0013074F">
            <w:r>
              <w:t>Before next meeting</w:t>
            </w:r>
          </w:p>
        </w:tc>
      </w:tr>
      <w:tr w:rsidR="00A95EA3" w:rsidRPr="005A031C" w14:paraId="5E55354B" w14:textId="77777777" w:rsidTr="00F8366F">
        <w:tc>
          <w:tcPr>
            <w:tcW w:w="342" w:type="dxa"/>
          </w:tcPr>
          <w:p w14:paraId="3804B4F6" w14:textId="48A7509D" w:rsidR="00A95EA3" w:rsidRPr="005A031C" w:rsidRDefault="00057141" w:rsidP="0013074F">
            <w:r>
              <w:t>8</w:t>
            </w:r>
          </w:p>
        </w:tc>
        <w:tc>
          <w:tcPr>
            <w:tcW w:w="4189" w:type="dxa"/>
          </w:tcPr>
          <w:p w14:paraId="279F0721" w14:textId="0272A049" w:rsidR="00A95EA3" w:rsidRPr="00F14608" w:rsidRDefault="00F14608" w:rsidP="00F14608">
            <w:pPr>
              <w:spacing w:after="120"/>
            </w:pPr>
            <w:r w:rsidRPr="00F14608">
              <w:t>Request</w:t>
            </w:r>
            <w:r w:rsidR="00A95EA3" w:rsidRPr="00F14608">
              <w:t xml:space="preserve"> </w:t>
            </w:r>
            <w:r w:rsidRPr="00F14608">
              <w:t xml:space="preserve">a draft statement from </w:t>
            </w:r>
            <w:r w:rsidR="00A95EA3" w:rsidRPr="00F14608">
              <w:t>the CAETS Energy working group for consideration at the 9 March quarterly communications meeting.</w:t>
            </w:r>
          </w:p>
        </w:tc>
        <w:tc>
          <w:tcPr>
            <w:tcW w:w="2127" w:type="dxa"/>
          </w:tcPr>
          <w:p w14:paraId="1AE13496" w14:textId="72D96694" w:rsidR="00A95EA3" w:rsidRPr="005A031C" w:rsidRDefault="00057141" w:rsidP="0013074F">
            <w:r>
              <w:t>Lucas (chair)</w:t>
            </w:r>
          </w:p>
        </w:tc>
        <w:tc>
          <w:tcPr>
            <w:tcW w:w="2358" w:type="dxa"/>
          </w:tcPr>
          <w:p w14:paraId="4CAB2FCA" w14:textId="291CB527" w:rsidR="00A95EA3" w:rsidRPr="005A031C" w:rsidRDefault="00D56B1A" w:rsidP="0013074F">
            <w:r>
              <w:t>ASAP (note, would be good to circulate ahead of the 9 March meeting)</w:t>
            </w:r>
          </w:p>
        </w:tc>
      </w:tr>
      <w:tr w:rsidR="00057141" w:rsidRPr="005A031C" w14:paraId="5651E014" w14:textId="77777777" w:rsidTr="00F8366F">
        <w:tc>
          <w:tcPr>
            <w:tcW w:w="342" w:type="dxa"/>
          </w:tcPr>
          <w:p w14:paraId="7B3BF5FC" w14:textId="1E0E46D2" w:rsidR="00057141" w:rsidRDefault="00057141" w:rsidP="0013074F">
            <w:r>
              <w:t>9</w:t>
            </w:r>
          </w:p>
        </w:tc>
        <w:tc>
          <w:tcPr>
            <w:tcW w:w="4189" w:type="dxa"/>
          </w:tcPr>
          <w:p w14:paraId="4658C5CC" w14:textId="52ECF98F" w:rsidR="00057141" w:rsidRPr="00FE673A" w:rsidRDefault="00FE673A" w:rsidP="00A95EA3">
            <w:pPr>
              <w:spacing w:after="120"/>
            </w:pPr>
            <w:r w:rsidRPr="00FE673A">
              <w:t xml:space="preserve">Seek a meeting with </w:t>
            </w:r>
            <w:proofErr w:type="spellStart"/>
            <w:r w:rsidRPr="00FE673A">
              <w:t>EuroCASE</w:t>
            </w:r>
            <w:proofErr w:type="spellEnd"/>
            <w:r w:rsidRPr="00FE673A">
              <w:t xml:space="preserve"> regarding communications activities and practice.</w:t>
            </w:r>
          </w:p>
        </w:tc>
        <w:tc>
          <w:tcPr>
            <w:tcW w:w="2127" w:type="dxa"/>
          </w:tcPr>
          <w:p w14:paraId="56A909AF" w14:textId="13BBC14D" w:rsidR="00057141" w:rsidRDefault="00FE673A" w:rsidP="0013074F">
            <w:r>
              <w:t>Lucas (chair)</w:t>
            </w:r>
          </w:p>
        </w:tc>
        <w:tc>
          <w:tcPr>
            <w:tcW w:w="2358" w:type="dxa"/>
          </w:tcPr>
          <w:p w14:paraId="2DE571F7" w14:textId="4EA6DFB6" w:rsidR="00057141" w:rsidRPr="005A031C" w:rsidRDefault="00E45BC2" w:rsidP="0013074F">
            <w:r>
              <w:t>Before next leadership meeting (</w:t>
            </w:r>
            <w:r w:rsidR="00F14608">
              <w:t xml:space="preserve">18 </w:t>
            </w:r>
            <w:r>
              <w:t>April)</w:t>
            </w:r>
          </w:p>
        </w:tc>
      </w:tr>
    </w:tbl>
    <w:p w14:paraId="4F554E80" w14:textId="77777777" w:rsidR="005C7F20" w:rsidRDefault="005C7F20"/>
    <w:p w14:paraId="2E11EE60" w14:textId="5126FEA4" w:rsidR="00961C74" w:rsidRDefault="00961C74" w:rsidP="00961C74">
      <w:pPr>
        <w:pStyle w:val="Heading2"/>
      </w:pPr>
      <w:r>
        <w:t>Meeting Summary</w:t>
      </w:r>
    </w:p>
    <w:p w14:paraId="2B1724B9" w14:textId="5311C5BC" w:rsidR="008A12ED" w:rsidRPr="00F104F0" w:rsidRDefault="00F104F0" w:rsidP="00F104F0">
      <w:pPr>
        <w:rPr>
          <w:b/>
          <w:bCs/>
        </w:rPr>
      </w:pPr>
      <w:r w:rsidRPr="00F104F0">
        <w:rPr>
          <w:b/>
          <w:bCs/>
        </w:rPr>
        <w:t xml:space="preserve">1. </w:t>
      </w:r>
      <w:r w:rsidR="008A12ED" w:rsidRPr="00F104F0">
        <w:rPr>
          <w:b/>
          <w:bCs/>
        </w:rPr>
        <w:t>Opening agenda and announcements</w:t>
      </w:r>
    </w:p>
    <w:p w14:paraId="69A299D1" w14:textId="5BD37E9A" w:rsidR="009B46B0" w:rsidRDefault="00B24C15" w:rsidP="0081570D">
      <w:pPr>
        <w:pStyle w:val="ListParagraph"/>
        <w:numPr>
          <w:ilvl w:val="0"/>
          <w:numId w:val="18"/>
        </w:numPr>
      </w:pPr>
      <w:r>
        <w:t>The chair noted that work had been done out of session on the comm</w:t>
      </w:r>
      <w:r w:rsidR="005A031C">
        <w:t>unication</w:t>
      </w:r>
      <w:r>
        <w:t xml:space="preserve">s prize </w:t>
      </w:r>
      <w:r w:rsidR="005A031C">
        <w:t>documentation</w:t>
      </w:r>
      <w:r w:rsidR="00D55DAD">
        <w:t xml:space="preserve">. </w:t>
      </w:r>
    </w:p>
    <w:p w14:paraId="79844F1A" w14:textId="36E92903" w:rsidR="008A12ED" w:rsidRDefault="00D55DAD" w:rsidP="0081570D">
      <w:pPr>
        <w:pStyle w:val="ListParagraph"/>
        <w:numPr>
          <w:ilvl w:val="0"/>
          <w:numId w:val="18"/>
        </w:numPr>
      </w:pPr>
      <w:r>
        <w:t xml:space="preserve">An update </w:t>
      </w:r>
      <w:r w:rsidR="00D56B1A">
        <w:t>was discussed at today’s meeting</w:t>
      </w:r>
      <w:r>
        <w:t>.</w:t>
      </w:r>
    </w:p>
    <w:p w14:paraId="32236FB6" w14:textId="2022CB02" w:rsidR="00F104F0" w:rsidRPr="00F104F0" w:rsidRDefault="00F104F0" w:rsidP="00F104F0">
      <w:pPr>
        <w:rPr>
          <w:b/>
          <w:bCs/>
        </w:rPr>
      </w:pPr>
      <w:r>
        <w:rPr>
          <w:b/>
          <w:bCs/>
        </w:rPr>
        <w:t>2</w:t>
      </w:r>
      <w:r w:rsidRPr="00F104F0">
        <w:rPr>
          <w:b/>
          <w:bCs/>
        </w:rPr>
        <w:t xml:space="preserve">. </w:t>
      </w:r>
      <w:r>
        <w:rPr>
          <w:b/>
          <w:bCs/>
        </w:rPr>
        <w:t>CAETS Communications</w:t>
      </w:r>
      <w:r w:rsidR="00244ADB">
        <w:rPr>
          <w:b/>
          <w:bCs/>
        </w:rPr>
        <w:t xml:space="preserve"> Prize 2023</w:t>
      </w:r>
    </w:p>
    <w:p w14:paraId="1965BAEF" w14:textId="7C4B1195" w:rsidR="008A12ED" w:rsidRDefault="00D55DAD" w:rsidP="009B46B0">
      <w:pPr>
        <w:pStyle w:val="ListParagraph"/>
        <w:numPr>
          <w:ilvl w:val="0"/>
          <w:numId w:val="19"/>
        </w:numPr>
      </w:pPr>
      <w:r>
        <w:t xml:space="preserve">Since last meeting, </w:t>
      </w:r>
      <w:r w:rsidR="006B3A89">
        <w:t xml:space="preserve">ATSE has </w:t>
      </w:r>
      <w:r w:rsidR="0074368B">
        <w:t>revised</w:t>
      </w:r>
      <w:r w:rsidR="006B3A89">
        <w:t xml:space="preserve"> the </w:t>
      </w:r>
      <w:r>
        <w:t>CAETS Communication Prize document</w:t>
      </w:r>
      <w:r w:rsidR="006B3A89">
        <w:t>ation</w:t>
      </w:r>
      <w:r>
        <w:t xml:space="preserve"> to reflect the changes </w:t>
      </w:r>
      <w:r w:rsidR="006B3A89">
        <w:t>to be introduced in the 2023 round</w:t>
      </w:r>
      <w:r w:rsidR="0074368B">
        <w:t xml:space="preserve"> and provided to the chair and deputy chair for review. </w:t>
      </w:r>
    </w:p>
    <w:p w14:paraId="14E370A0" w14:textId="66326B1E" w:rsidR="00861E54" w:rsidRDefault="00B23A00" w:rsidP="009B46B0">
      <w:pPr>
        <w:pStyle w:val="ListParagraph"/>
        <w:numPr>
          <w:ilvl w:val="0"/>
          <w:numId w:val="19"/>
        </w:numPr>
      </w:pPr>
      <w:r>
        <w:t>The group agreed that the prize winner and finalists would be notified of the outcome of judging under embargo in July</w:t>
      </w:r>
      <w:r w:rsidR="00F37A73">
        <w:t>, and the public announcement and prize presentation will occur at the annual CAETS meeting in October.</w:t>
      </w:r>
    </w:p>
    <w:p w14:paraId="1572ADD6" w14:textId="2D833FA2" w:rsidR="002B0BB9" w:rsidRDefault="0074368B" w:rsidP="006C4F58">
      <w:pPr>
        <w:pStyle w:val="ListParagraph"/>
        <w:numPr>
          <w:ilvl w:val="0"/>
          <w:numId w:val="19"/>
        </w:numPr>
      </w:pPr>
      <w:r>
        <w:t xml:space="preserve">The chair and deputy chair noted a </w:t>
      </w:r>
      <w:proofErr w:type="gramStart"/>
      <w:r>
        <w:t>further revisions</w:t>
      </w:r>
      <w:proofErr w:type="gramEnd"/>
      <w:r w:rsidR="009C4E3F">
        <w:t xml:space="preserve"> for ATSE to action before the documentation is finalised </w:t>
      </w:r>
      <w:r w:rsidR="000156F7">
        <w:t>for launching the 2023 round and opening to applications</w:t>
      </w:r>
      <w:r w:rsidR="006C4F58">
        <w:t xml:space="preserve"> - revisions have been </w:t>
      </w:r>
      <w:r w:rsidR="000156F7">
        <w:t>provided on an annotated pdf</w:t>
      </w:r>
      <w:r w:rsidR="006E0BA9">
        <w:t xml:space="preserve"> and </w:t>
      </w:r>
      <w:r w:rsidR="000156F7">
        <w:t xml:space="preserve">were discussed during the </w:t>
      </w:r>
      <w:r w:rsidR="002B0BB9">
        <w:t>meeting</w:t>
      </w:r>
      <w:r w:rsidR="006E0BA9">
        <w:t>. In summary, the requested revisions for the prize documentation are</w:t>
      </w:r>
      <w:r w:rsidR="002B0BB9">
        <w:t>:</w:t>
      </w:r>
    </w:p>
    <w:p w14:paraId="67CD4113" w14:textId="7547D4B8" w:rsidR="0074368B" w:rsidRDefault="002B0BB9" w:rsidP="002B0BB9">
      <w:pPr>
        <w:pStyle w:val="ListParagraph"/>
        <w:numPr>
          <w:ilvl w:val="1"/>
          <w:numId w:val="19"/>
        </w:numPr>
      </w:pPr>
      <w:r>
        <w:t>Ensure the singular form is used in reference to the prize</w:t>
      </w:r>
      <w:r w:rsidR="00E31CD5">
        <w:t xml:space="preserve"> throughout the document, including headings</w:t>
      </w:r>
      <w:r>
        <w:t xml:space="preserve"> (one category only in 2023)</w:t>
      </w:r>
      <w:r w:rsidR="00E31CD5">
        <w:t xml:space="preserve"> rather than the plural.</w:t>
      </w:r>
      <w:r w:rsidR="009C4E3F">
        <w:t xml:space="preserve"> </w:t>
      </w:r>
    </w:p>
    <w:p w14:paraId="44B039E7" w14:textId="0AE1716D" w:rsidR="00E31CD5" w:rsidRDefault="00E31CD5" w:rsidP="002B0BB9">
      <w:pPr>
        <w:pStyle w:val="ListParagraph"/>
        <w:numPr>
          <w:ilvl w:val="1"/>
          <w:numId w:val="19"/>
        </w:numPr>
      </w:pPr>
      <w:r>
        <w:t xml:space="preserve">Please use “communication prize” rather than the plural (communications) throughout the doc consistently. </w:t>
      </w:r>
    </w:p>
    <w:p w14:paraId="36BC9FFA" w14:textId="0EAB4D7B" w:rsidR="00E31CD5" w:rsidRDefault="00E31CD5" w:rsidP="002B0BB9">
      <w:pPr>
        <w:pStyle w:val="ListParagraph"/>
        <w:numPr>
          <w:ilvl w:val="1"/>
          <w:numId w:val="19"/>
        </w:numPr>
      </w:pPr>
      <w:r>
        <w:t xml:space="preserve">Clarity in wording regarding the prize money – the prize will cover the registration fee to the </w:t>
      </w:r>
      <w:r w:rsidR="009D4CD3">
        <w:t xml:space="preserve">annual conference as well as travel expenses (up to the agreed amount). </w:t>
      </w:r>
    </w:p>
    <w:p w14:paraId="03456B64" w14:textId="63689142" w:rsidR="009D4CD3" w:rsidRDefault="009D4CD3" w:rsidP="002B0BB9">
      <w:pPr>
        <w:pStyle w:val="ListParagraph"/>
        <w:numPr>
          <w:ilvl w:val="1"/>
          <w:numId w:val="19"/>
        </w:numPr>
      </w:pPr>
      <w:r>
        <w:t xml:space="preserve">Revise wording such that a communication plan is requested and/or preferred, but not “required” – that is, </w:t>
      </w:r>
      <w:r w:rsidR="00003D0B">
        <w:t xml:space="preserve">entries will not be disqualified if a communication plan is not included. </w:t>
      </w:r>
    </w:p>
    <w:p w14:paraId="466C2E81" w14:textId="363C7CE6" w:rsidR="00003D0B" w:rsidRDefault="00F37A73" w:rsidP="002B0BB9">
      <w:pPr>
        <w:pStyle w:val="ListParagraph"/>
        <w:numPr>
          <w:ilvl w:val="1"/>
          <w:numId w:val="19"/>
        </w:numPr>
      </w:pPr>
      <w:r>
        <w:t>Update the timeline for the prize to reflect the winner and finalists notified of the outcome under embargo in July, with the winner announced at the CAETS annual meeting in October.</w:t>
      </w:r>
    </w:p>
    <w:p w14:paraId="1A3BCE46" w14:textId="3DAA911E" w:rsidR="006E0BA9" w:rsidRDefault="006E0BA9" w:rsidP="002B0BB9">
      <w:pPr>
        <w:pStyle w:val="ListParagraph"/>
        <w:numPr>
          <w:ilvl w:val="1"/>
          <w:numId w:val="19"/>
        </w:numPr>
      </w:pPr>
      <w:r>
        <w:t>International Judging panel EOI – please remove the country list and provide a free text field</w:t>
      </w:r>
      <w:r w:rsidR="006B6DBC">
        <w:t xml:space="preserve"> where the applicant can fill out country and CAETS member affiliation.</w:t>
      </w:r>
    </w:p>
    <w:p w14:paraId="07151CA7" w14:textId="77FEACFC" w:rsidR="006B6DBC" w:rsidRDefault="006B6DBC" w:rsidP="002B0BB9">
      <w:pPr>
        <w:pStyle w:val="ListParagraph"/>
        <w:numPr>
          <w:ilvl w:val="1"/>
          <w:numId w:val="19"/>
        </w:numPr>
      </w:pPr>
      <w:r>
        <w:t xml:space="preserve">Prize entry form – please include a field for applicants to provide a </w:t>
      </w:r>
      <w:r w:rsidR="0038542F">
        <w:t>Y</w:t>
      </w:r>
      <w:r>
        <w:t>ou</w:t>
      </w:r>
      <w:r w:rsidR="0038542F">
        <w:t>T</w:t>
      </w:r>
      <w:r>
        <w:t>ube or other link to access their video</w:t>
      </w:r>
      <w:r w:rsidR="00382DF7">
        <w:t xml:space="preserve">. Note that this may not be </w:t>
      </w:r>
      <w:r w:rsidR="0038542F">
        <w:t>Y</w:t>
      </w:r>
      <w:r w:rsidR="00382DF7">
        <w:t>ou</w:t>
      </w:r>
      <w:r w:rsidR="0038542F">
        <w:t>T</w:t>
      </w:r>
      <w:r w:rsidR="00382DF7">
        <w:t>ube (</w:t>
      </w:r>
      <w:proofErr w:type="gramStart"/>
      <w:r w:rsidR="00382DF7">
        <w:t>i</w:t>
      </w:r>
      <w:r w:rsidR="0038542F">
        <w:t>.</w:t>
      </w:r>
      <w:r w:rsidR="00382DF7">
        <w:t>e</w:t>
      </w:r>
      <w:r w:rsidR="0038542F">
        <w:t>.</w:t>
      </w:r>
      <w:proofErr w:type="gramEnd"/>
      <w:r w:rsidR="00382DF7">
        <w:t xml:space="preserve"> China cannot access </w:t>
      </w:r>
      <w:r w:rsidR="0038542F">
        <w:t>Y</w:t>
      </w:r>
      <w:r w:rsidR="00382DF7">
        <w:t>ou</w:t>
      </w:r>
      <w:r w:rsidR="0038542F">
        <w:t>T</w:t>
      </w:r>
      <w:r w:rsidR="00382DF7">
        <w:t xml:space="preserve">ube and may use another platform). </w:t>
      </w:r>
    </w:p>
    <w:p w14:paraId="481EE9A5" w14:textId="46774EAB" w:rsidR="006219C6" w:rsidRDefault="00C74D16" w:rsidP="006219C6">
      <w:pPr>
        <w:pStyle w:val="ListParagraph"/>
        <w:numPr>
          <w:ilvl w:val="0"/>
          <w:numId w:val="19"/>
        </w:numPr>
      </w:pPr>
      <w:r>
        <w:lastRenderedPageBreak/>
        <w:t xml:space="preserve">Once finalised with the above revisions, </w:t>
      </w:r>
      <w:r w:rsidR="00566DA3">
        <w:t>the group requested that ATSE provide the document</w:t>
      </w:r>
      <w:r w:rsidR="007C7E82">
        <w:t>ation to CAETS secretariat for distribution to CAETS members</w:t>
      </w:r>
      <w:r w:rsidR="001764A1">
        <w:t>, announcing the round open for applications.</w:t>
      </w:r>
    </w:p>
    <w:tbl>
      <w:tblPr>
        <w:tblStyle w:val="TableGrid"/>
        <w:tblW w:w="0" w:type="auto"/>
        <w:shd w:val="clear" w:color="auto" w:fill="D9E2F3" w:themeFill="accent1" w:themeFillTint="33"/>
        <w:tblLook w:val="04A0" w:firstRow="1" w:lastRow="0" w:firstColumn="1" w:lastColumn="0" w:noHBand="0" w:noVBand="1"/>
      </w:tblPr>
      <w:tblGrid>
        <w:gridCol w:w="9016"/>
      </w:tblGrid>
      <w:tr w:rsidR="00D55DAD" w:rsidRPr="0091129E" w14:paraId="004D5F4C" w14:textId="77777777" w:rsidTr="00F50A30">
        <w:trPr>
          <w:trHeight w:val="1650"/>
        </w:trPr>
        <w:tc>
          <w:tcPr>
            <w:tcW w:w="9016" w:type="dxa"/>
            <w:shd w:val="clear" w:color="auto" w:fill="D9E2F3" w:themeFill="accent1" w:themeFillTint="33"/>
          </w:tcPr>
          <w:p w14:paraId="0285EB41" w14:textId="2BB7FA76" w:rsidR="00D55DAD" w:rsidRDefault="00D55DAD" w:rsidP="00F50A30">
            <w:pPr>
              <w:spacing w:after="120"/>
              <w:rPr>
                <w:b/>
                <w:bCs/>
              </w:rPr>
            </w:pPr>
            <w:r w:rsidRPr="0091129E">
              <w:rPr>
                <w:b/>
                <w:bCs/>
              </w:rPr>
              <w:t>Action 1 –</w:t>
            </w:r>
            <w:r w:rsidR="00382DF7">
              <w:rPr>
                <w:b/>
                <w:bCs/>
              </w:rPr>
              <w:t xml:space="preserve"> ATSE will </w:t>
            </w:r>
            <w:r w:rsidR="006E04CF">
              <w:rPr>
                <w:b/>
                <w:bCs/>
              </w:rPr>
              <w:t>revise the Communication Prize documentation as per the chair and deputy chair’s requested changes</w:t>
            </w:r>
            <w:r w:rsidR="00596AD8">
              <w:rPr>
                <w:b/>
                <w:bCs/>
              </w:rPr>
              <w:t xml:space="preserve"> in time to share with the </w:t>
            </w:r>
            <w:r w:rsidR="003A5374">
              <w:rPr>
                <w:b/>
                <w:bCs/>
              </w:rPr>
              <w:t>committee at the 9 March meeting</w:t>
            </w:r>
            <w:r w:rsidR="00427533">
              <w:rPr>
                <w:b/>
                <w:bCs/>
              </w:rPr>
              <w:t>.</w:t>
            </w:r>
          </w:p>
          <w:p w14:paraId="73FB0720" w14:textId="46061E58" w:rsidR="00427533" w:rsidRPr="0091129E" w:rsidRDefault="00427533" w:rsidP="00F50A30">
            <w:pPr>
              <w:spacing w:after="120"/>
              <w:rPr>
                <w:b/>
                <w:bCs/>
              </w:rPr>
            </w:pPr>
            <w:r>
              <w:rPr>
                <w:b/>
                <w:bCs/>
              </w:rPr>
              <w:t xml:space="preserve">Action 2 – ATSE will provide the finalised Communication Prize documentation </w:t>
            </w:r>
            <w:r w:rsidR="00791E6D">
              <w:rPr>
                <w:b/>
                <w:bCs/>
              </w:rPr>
              <w:t xml:space="preserve">and supporting promotional materials </w:t>
            </w:r>
            <w:r>
              <w:rPr>
                <w:b/>
                <w:bCs/>
              </w:rPr>
              <w:t xml:space="preserve">to </w:t>
            </w:r>
            <w:r w:rsidR="00791E6D">
              <w:rPr>
                <w:b/>
                <w:bCs/>
              </w:rPr>
              <w:t>CAETS secretariat (Ruth David)</w:t>
            </w:r>
            <w:r w:rsidR="002428FD">
              <w:rPr>
                <w:b/>
                <w:bCs/>
              </w:rPr>
              <w:t xml:space="preserve"> for distribution to CAETS member academies</w:t>
            </w:r>
            <w:r w:rsidR="00C74D16">
              <w:rPr>
                <w:b/>
                <w:bCs/>
              </w:rPr>
              <w:t xml:space="preserve"> in mid-March.</w:t>
            </w:r>
          </w:p>
        </w:tc>
      </w:tr>
    </w:tbl>
    <w:p w14:paraId="043BC5B7" w14:textId="42A181B6" w:rsidR="008A12ED" w:rsidRDefault="008A12ED" w:rsidP="00F104F0"/>
    <w:p w14:paraId="56AC4935" w14:textId="2C88CBDF" w:rsidR="00244ADB" w:rsidRDefault="00244ADB" w:rsidP="00244ADB">
      <w:pPr>
        <w:rPr>
          <w:b/>
          <w:bCs/>
        </w:rPr>
      </w:pPr>
      <w:r>
        <w:rPr>
          <w:b/>
          <w:bCs/>
        </w:rPr>
        <w:t xml:space="preserve">3. </w:t>
      </w:r>
      <w:r w:rsidRPr="00F94283">
        <w:rPr>
          <w:b/>
          <w:bCs/>
        </w:rPr>
        <w:t>CAETS Style Guide</w:t>
      </w:r>
    </w:p>
    <w:p w14:paraId="3025853F" w14:textId="0ABF950E" w:rsidR="0047200C" w:rsidRPr="003A5374" w:rsidRDefault="00EF703C" w:rsidP="00EF703C">
      <w:pPr>
        <w:pStyle w:val="ListParagraph"/>
        <w:numPr>
          <w:ilvl w:val="0"/>
          <w:numId w:val="20"/>
        </w:numPr>
      </w:pPr>
      <w:r w:rsidRPr="00081C0C">
        <w:t>At last meeting</w:t>
      </w:r>
      <w:r w:rsidR="001764A1" w:rsidRPr="00081C0C">
        <w:t xml:space="preserve">, the </w:t>
      </w:r>
      <w:r w:rsidR="001764A1" w:rsidRPr="003A5374">
        <w:t>group noted the existing style guide, which includes branding advice, and that CAETS secretariat ha</w:t>
      </w:r>
      <w:r w:rsidR="00C73BAE" w:rsidRPr="003A5374">
        <w:t>d requested an expansion to include advice on language and format for outputs from CAETS working groups and committees (reports, statements).</w:t>
      </w:r>
    </w:p>
    <w:p w14:paraId="07DE9E92" w14:textId="2C00CD3C" w:rsidR="00B073FC" w:rsidRPr="003A5374" w:rsidRDefault="00B073FC" w:rsidP="00EF703C">
      <w:pPr>
        <w:pStyle w:val="ListParagraph"/>
        <w:numPr>
          <w:ilvl w:val="0"/>
          <w:numId w:val="20"/>
        </w:numPr>
      </w:pPr>
      <w:r w:rsidRPr="003A5374">
        <w:t>The group discussed what might be possible to deliver, and what would be useful guidance to develop that will be used by the CAETS working groups and committees.</w:t>
      </w:r>
    </w:p>
    <w:p w14:paraId="363AFC25" w14:textId="003F4A65" w:rsidR="008868C6" w:rsidRDefault="008868C6" w:rsidP="00EF703C">
      <w:pPr>
        <w:pStyle w:val="ListParagraph"/>
        <w:numPr>
          <w:ilvl w:val="0"/>
          <w:numId w:val="20"/>
        </w:numPr>
      </w:pPr>
      <w:r w:rsidRPr="00081C0C">
        <w:t>The group agreed t</w:t>
      </w:r>
      <w:r w:rsidR="004B5DFE" w:rsidRPr="00081C0C">
        <w:t xml:space="preserve">hat a short </w:t>
      </w:r>
      <w:proofErr w:type="gramStart"/>
      <w:r w:rsidR="004B5DFE" w:rsidRPr="00081C0C">
        <w:t>1-2 page</w:t>
      </w:r>
      <w:proofErr w:type="gramEnd"/>
      <w:r w:rsidR="004B5DFE" w:rsidRPr="00081C0C">
        <w:t xml:space="preserve"> addition to provide guidance on the expected structure of CAETS communication outputs such as reports</w:t>
      </w:r>
      <w:r w:rsidR="00081C0C" w:rsidRPr="00081C0C">
        <w:t xml:space="preserve"> would be de</w:t>
      </w:r>
      <w:r w:rsidR="0038542F">
        <w:t>sirable</w:t>
      </w:r>
      <w:r w:rsidR="00081C0C" w:rsidRPr="00081C0C">
        <w:t>, and most likely to be of assistance to CAETS working groups and committees.</w:t>
      </w:r>
      <w:r w:rsidR="00F37CED">
        <w:t xml:space="preserve"> This addition should be an additional section entitled “Structure of communication outputs” </w:t>
      </w:r>
      <w:r w:rsidR="00402BBD">
        <w:t xml:space="preserve">and outline details such as </w:t>
      </w:r>
      <w:r w:rsidR="00D036A7">
        <w:t xml:space="preserve">requirements for title page, affiliations page, maximum </w:t>
      </w:r>
      <w:proofErr w:type="gramStart"/>
      <w:r w:rsidR="00D036A7">
        <w:t>2 page</w:t>
      </w:r>
      <w:proofErr w:type="gramEnd"/>
      <w:r w:rsidR="00D036A7">
        <w:t xml:space="preserve"> executive summary</w:t>
      </w:r>
      <w:r w:rsidR="003F30FD">
        <w:t xml:space="preserve">, which should follow the visual identity guidelines as well. </w:t>
      </w:r>
    </w:p>
    <w:p w14:paraId="13F6109D" w14:textId="77777777" w:rsidR="00E747BC" w:rsidRDefault="009E28C0" w:rsidP="00EF703C">
      <w:pPr>
        <w:pStyle w:val="ListParagraph"/>
        <w:numPr>
          <w:ilvl w:val="0"/>
          <w:numId w:val="20"/>
        </w:numPr>
      </w:pPr>
      <w:r>
        <w:t>The</w:t>
      </w:r>
      <w:r w:rsidR="00073706">
        <w:t xml:space="preserve"> group also agreed that the</w:t>
      </w:r>
      <w:r>
        <w:t xml:space="preserve"> addition to the style guide document </w:t>
      </w:r>
      <w:r w:rsidR="00073706">
        <w:t xml:space="preserve">should be accompanied by a description of the process </w:t>
      </w:r>
      <w:r w:rsidR="0031387F">
        <w:t xml:space="preserve">for </w:t>
      </w:r>
      <w:r w:rsidR="00E747BC">
        <w:t>Communications Committee review and support for outputs generated from other CAETS committees, which includes:</w:t>
      </w:r>
    </w:p>
    <w:p w14:paraId="2B76462D" w14:textId="2D594CAE" w:rsidR="009E28C0" w:rsidRDefault="003F30FD" w:rsidP="00E747BC">
      <w:pPr>
        <w:pStyle w:val="ListParagraph"/>
        <w:numPr>
          <w:ilvl w:val="1"/>
          <w:numId w:val="20"/>
        </w:numPr>
      </w:pPr>
      <w:r>
        <w:t>Provide the revised style guide to all CAETS members and committees</w:t>
      </w:r>
    </w:p>
    <w:p w14:paraId="7EBFD1B2" w14:textId="70C87A37" w:rsidR="003F30FD" w:rsidRDefault="003F30FD" w:rsidP="00E747BC">
      <w:pPr>
        <w:pStyle w:val="ListParagraph"/>
        <w:numPr>
          <w:ilvl w:val="1"/>
          <w:numId w:val="20"/>
        </w:numPr>
      </w:pPr>
      <w:r>
        <w:t xml:space="preserve">Request that </w:t>
      </w:r>
      <w:r w:rsidR="00BD18A4">
        <w:t>outputs follow the style guide structure and branding</w:t>
      </w:r>
      <w:r w:rsidR="004E00BB">
        <w:t xml:space="preserve"> advice</w:t>
      </w:r>
    </w:p>
    <w:p w14:paraId="2BDE4AD3" w14:textId="2B25CDAB" w:rsidR="004E00BB" w:rsidRDefault="004E00BB" w:rsidP="00E747BC">
      <w:pPr>
        <w:pStyle w:val="ListParagraph"/>
        <w:numPr>
          <w:ilvl w:val="1"/>
          <w:numId w:val="20"/>
        </w:numPr>
      </w:pPr>
      <w:r>
        <w:t xml:space="preserve">Provide outputs to the quarterly CAETS Communications Committee meeting for review and report. </w:t>
      </w:r>
    </w:p>
    <w:p w14:paraId="678DB70A" w14:textId="73DF3228" w:rsidR="004E00BB" w:rsidRPr="00081C0C" w:rsidRDefault="004E00BB" w:rsidP="00E747BC">
      <w:pPr>
        <w:pStyle w:val="ListParagraph"/>
        <w:numPr>
          <w:ilvl w:val="1"/>
          <w:numId w:val="20"/>
        </w:numPr>
      </w:pPr>
      <w:r>
        <w:t>The CAETS Communication Committee will provide feedback and advice</w:t>
      </w:r>
      <w:r w:rsidR="00964B26">
        <w:t xml:space="preserve"> by the following quarterly meeting on how to maximise the impact of the output</w:t>
      </w:r>
    </w:p>
    <w:tbl>
      <w:tblPr>
        <w:tblStyle w:val="TableGrid"/>
        <w:tblW w:w="0" w:type="auto"/>
        <w:shd w:val="clear" w:color="auto" w:fill="D9E2F3" w:themeFill="accent1" w:themeFillTint="33"/>
        <w:tblLook w:val="04A0" w:firstRow="1" w:lastRow="0" w:firstColumn="1" w:lastColumn="0" w:noHBand="0" w:noVBand="1"/>
      </w:tblPr>
      <w:tblGrid>
        <w:gridCol w:w="9016"/>
      </w:tblGrid>
      <w:tr w:rsidR="00244ADB" w:rsidRPr="0091129E" w14:paraId="3E73ABCD" w14:textId="77777777" w:rsidTr="009C6040">
        <w:trPr>
          <w:trHeight w:val="434"/>
        </w:trPr>
        <w:tc>
          <w:tcPr>
            <w:tcW w:w="9016" w:type="dxa"/>
            <w:shd w:val="clear" w:color="auto" w:fill="D9E2F3" w:themeFill="accent1" w:themeFillTint="33"/>
            <w:vAlign w:val="center"/>
          </w:tcPr>
          <w:p w14:paraId="1E3DA871" w14:textId="1F59A2A5" w:rsidR="00F92660" w:rsidRPr="00F35A5E" w:rsidRDefault="00505FB6" w:rsidP="009C6040">
            <w:pPr>
              <w:rPr>
                <w:b/>
                <w:bCs/>
              </w:rPr>
            </w:pPr>
            <w:r>
              <w:t xml:space="preserve"> </w:t>
            </w:r>
            <w:bookmarkStart w:id="0" w:name="_Hlk127905964"/>
            <w:r w:rsidR="00244ADB" w:rsidRPr="00C74E98">
              <w:rPr>
                <w:b/>
                <w:bCs/>
              </w:rPr>
              <w:t xml:space="preserve">Action </w:t>
            </w:r>
            <w:r w:rsidR="00964B26" w:rsidRPr="00C74E98">
              <w:rPr>
                <w:b/>
                <w:bCs/>
              </w:rPr>
              <w:t>3</w:t>
            </w:r>
            <w:r w:rsidR="00244ADB" w:rsidRPr="00C74E98">
              <w:rPr>
                <w:b/>
                <w:bCs/>
              </w:rPr>
              <w:t xml:space="preserve"> – </w:t>
            </w:r>
            <w:r w:rsidR="00964B26" w:rsidRPr="00C74E98">
              <w:rPr>
                <w:b/>
                <w:bCs/>
              </w:rPr>
              <w:t>ATSE to draft new section of style guide covering the structure of CAETS committee outputs</w:t>
            </w:r>
            <w:r w:rsidR="00F92660" w:rsidRPr="00C74E98">
              <w:rPr>
                <w:b/>
                <w:bCs/>
              </w:rPr>
              <w:t xml:space="preserve"> and provide to the Committee chair and deputy chair for review</w:t>
            </w:r>
            <w:r w:rsidR="00964B26" w:rsidRPr="00C74E98">
              <w:rPr>
                <w:b/>
                <w:bCs/>
              </w:rPr>
              <w:t>.</w:t>
            </w:r>
            <w:r w:rsidR="00C74E98" w:rsidRPr="00C74E98">
              <w:rPr>
                <w:b/>
                <w:bCs/>
              </w:rPr>
              <w:t xml:space="preserve"> </w:t>
            </w:r>
            <w:r w:rsidR="00C74E98" w:rsidRPr="00C74E98">
              <w:t>Ideally, the revision can be provided for discussion at the CAETS Communications quarterly meeting on 9 March.</w:t>
            </w:r>
          </w:p>
        </w:tc>
      </w:tr>
      <w:bookmarkEnd w:id="0"/>
    </w:tbl>
    <w:p w14:paraId="4215EECB" w14:textId="6586B8A3" w:rsidR="008A12ED" w:rsidRDefault="008A12ED" w:rsidP="00E65D35">
      <w:pPr>
        <w:spacing w:after="0"/>
      </w:pPr>
    </w:p>
    <w:p w14:paraId="76F0164A" w14:textId="53433DC5" w:rsidR="00C712AC" w:rsidRDefault="00A756B3" w:rsidP="00C712AC">
      <w:pPr>
        <w:rPr>
          <w:b/>
          <w:bCs/>
        </w:rPr>
      </w:pPr>
      <w:r>
        <w:rPr>
          <w:b/>
          <w:bCs/>
        </w:rPr>
        <w:t>4</w:t>
      </w:r>
      <w:r w:rsidR="00C712AC">
        <w:rPr>
          <w:b/>
          <w:bCs/>
        </w:rPr>
        <w:t>. Quarterly committee meetings – all committee members</w:t>
      </w:r>
    </w:p>
    <w:p w14:paraId="0B512AA0" w14:textId="4ED2CA5A" w:rsidR="002E03D2" w:rsidRDefault="002E03D2" w:rsidP="002E03D2">
      <w:pPr>
        <w:pStyle w:val="ListParagraph"/>
        <w:numPr>
          <w:ilvl w:val="0"/>
          <w:numId w:val="22"/>
        </w:numPr>
      </w:pPr>
      <w:r>
        <w:t xml:space="preserve">The group </w:t>
      </w:r>
      <w:r w:rsidR="0007055D">
        <w:t>noted</w:t>
      </w:r>
      <w:r>
        <w:t xml:space="preserve"> the proposed dates for the quarterly meetings that were circulated by ATSE prior to the meeting – 2 March, 8 June, 7 Dec, October meeting during CAETS annual conference 9-11 October</w:t>
      </w:r>
      <w:r w:rsidR="0007055D">
        <w:t>.</w:t>
      </w:r>
    </w:p>
    <w:p w14:paraId="14195CF4" w14:textId="2D73F5F4" w:rsidR="0007055D" w:rsidRDefault="0007055D" w:rsidP="002E03D2">
      <w:pPr>
        <w:pStyle w:val="ListParagraph"/>
        <w:numPr>
          <w:ilvl w:val="0"/>
          <w:numId w:val="22"/>
        </w:numPr>
      </w:pPr>
      <w:r>
        <w:t xml:space="preserve">The group </w:t>
      </w:r>
      <w:r w:rsidR="00872831">
        <w:t>agreed to push back</w:t>
      </w:r>
      <w:r w:rsidR="000D16FF">
        <w:t xml:space="preserve"> the first quarterly meeting</w:t>
      </w:r>
      <w:r w:rsidR="00872831">
        <w:t xml:space="preserve"> to 9 March before sending the invitation to all committee members</w:t>
      </w:r>
      <w:r w:rsidR="003D28E1">
        <w:t xml:space="preserve"> </w:t>
      </w:r>
      <w:r w:rsidR="008E311D">
        <w:t xml:space="preserve">to give more notice and try to secure better attendance </w:t>
      </w:r>
      <w:r w:rsidR="003D28E1">
        <w:t>– ATSE will update the calendar invitation.</w:t>
      </w:r>
    </w:p>
    <w:p w14:paraId="3DF671B4" w14:textId="1A5BFD94" w:rsidR="00FA5DE8" w:rsidRDefault="00896055" w:rsidP="00C669C6">
      <w:pPr>
        <w:pStyle w:val="ListParagraph"/>
        <w:numPr>
          <w:ilvl w:val="0"/>
          <w:numId w:val="22"/>
        </w:numPr>
      </w:pPr>
      <w:r>
        <w:t>The group discussed and drafted the agenda for the quarterly meeting</w:t>
      </w:r>
      <w:r w:rsidR="00187CC3">
        <w:t>, which the chair then shared with ATSE to finalise and distribute to committee members.</w:t>
      </w:r>
    </w:p>
    <w:tbl>
      <w:tblPr>
        <w:tblStyle w:val="TableGrid"/>
        <w:tblW w:w="0" w:type="auto"/>
        <w:shd w:val="clear" w:color="auto" w:fill="D9E2F3" w:themeFill="accent1" w:themeFillTint="33"/>
        <w:tblLook w:val="04A0" w:firstRow="1" w:lastRow="0" w:firstColumn="1" w:lastColumn="0" w:noHBand="0" w:noVBand="1"/>
      </w:tblPr>
      <w:tblGrid>
        <w:gridCol w:w="9016"/>
      </w:tblGrid>
      <w:tr w:rsidR="003D28E1" w:rsidRPr="0091129E" w14:paraId="46FD2FF3" w14:textId="77777777" w:rsidTr="00941F99">
        <w:trPr>
          <w:trHeight w:val="434"/>
        </w:trPr>
        <w:tc>
          <w:tcPr>
            <w:tcW w:w="9016" w:type="dxa"/>
            <w:shd w:val="clear" w:color="auto" w:fill="D9E2F3" w:themeFill="accent1" w:themeFillTint="33"/>
            <w:vAlign w:val="center"/>
          </w:tcPr>
          <w:p w14:paraId="63C77863" w14:textId="77777777" w:rsidR="003D28E1" w:rsidRDefault="003D28E1" w:rsidP="004F4008">
            <w:pPr>
              <w:spacing w:after="120"/>
              <w:rPr>
                <w:b/>
                <w:bCs/>
              </w:rPr>
            </w:pPr>
            <w:bookmarkStart w:id="1" w:name="_Hlk127906500"/>
            <w:r w:rsidRPr="00C74E98">
              <w:rPr>
                <w:b/>
                <w:bCs/>
              </w:rPr>
              <w:lastRenderedPageBreak/>
              <w:t xml:space="preserve">Action </w:t>
            </w:r>
            <w:r w:rsidR="00F50A30">
              <w:rPr>
                <w:b/>
                <w:bCs/>
              </w:rPr>
              <w:t xml:space="preserve">4 </w:t>
            </w:r>
            <w:r w:rsidRPr="00C74E98">
              <w:rPr>
                <w:b/>
                <w:bCs/>
              </w:rPr>
              <w:t xml:space="preserve">– ATSE to </w:t>
            </w:r>
            <w:r>
              <w:rPr>
                <w:b/>
                <w:bCs/>
              </w:rPr>
              <w:t xml:space="preserve">send calendar invitations for quarterly meetings to all committee members for the </w:t>
            </w:r>
            <w:r w:rsidR="00F50A30">
              <w:rPr>
                <w:b/>
                <w:bCs/>
              </w:rPr>
              <w:t xml:space="preserve">proposed times on 9 March, 8 June, 7 December. </w:t>
            </w:r>
          </w:p>
          <w:p w14:paraId="2A44684D" w14:textId="6690A622" w:rsidR="008E311D" w:rsidRDefault="008E311D" w:rsidP="004F4008">
            <w:pPr>
              <w:spacing w:after="120"/>
              <w:rPr>
                <w:b/>
                <w:bCs/>
              </w:rPr>
            </w:pPr>
            <w:r>
              <w:rPr>
                <w:b/>
                <w:bCs/>
              </w:rPr>
              <w:t xml:space="preserve">Action 5 </w:t>
            </w:r>
            <w:r w:rsidR="004442B8">
              <w:rPr>
                <w:b/>
                <w:bCs/>
              </w:rPr>
              <w:t>–</w:t>
            </w:r>
            <w:r>
              <w:rPr>
                <w:b/>
                <w:bCs/>
              </w:rPr>
              <w:t xml:space="preserve"> </w:t>
            </w:r>
            <w:r w:rsidR="00B83604">
              <w:rPr>
                <w:b/>
                <w:bCs/>
              </w:rPr>
              <w:t>The chair will share the draft agenda with ATSE, who will finalise (formatting etc) for distribution to committee members ahead of the meeting.</w:t>
            </w:r>
          </w:p>
          <w:p w14:paraId="1A804C56" w14:textId="2EDBCB34" w:rsidR="004442B8" w:rsidRPr="00F35A5E" w:rsidRDefault="004442B8" w:rsidP="004F4008">
            <w:pPr>
              <w:spacing w:after="120"/>
              <w:rPr>
                <w:b/>
                <w:bCs/>
              </w:rPr>
            </w:pPr>
            <w:r>
              <w:rPr>
                <w:b/>
                <w:bCs/>
              </w:rPr>
              <w:t>Action 6 – ATSE to share the list of committee members with the chairs.</w:t>
            </w:r>
          </w:p>
        </w:tc>
      </w:tr>
      <w:bookmarkEnd w:id="1"/>
    </w:tbl>
    <w:p w14:paraId="2E70B040" w14:textId="77777777" w:rsidR="003D28E1" w:rsidRDefault="003D28E1" w:rsidP="00E65D35">
      <w:pPr>
        <w:spacing w:after="0"/>
      </w:pPr>
    </w:p>
    <w:p w14:paraId="32BCD7EB" w14:textId="3DAAAA9D" w:rsidR="0052348B" w:rsidRDefault="0052348B" w:rsidP="0052348B">
      <w:pPr>
        <w:rPr>
          <w:b/>
          <w:bCs/>
        </w:rPr>
      </w:pPr>
      <w:r>
        <w:rPr>
          <w:b/>
          <w:bCs/>
        </w:rPr>
        <w:t>5. Minutes of last committee meeting</w:t>
      </w:r>
    </w:p>
    <w:p w14:paraId="790E4011" w14:textId="68E882F3" w:rsidR="0052348B" w:rsidRPr="008A12ED" w:rsidRDefault="00187CC3" w:rsidP="008A12ED">
      <w:pPr>
        <w:pStyle w:val="ListParagraph"/>
        <w:numPr>
          <w:ilvl w:val="0"/>
          <w:numId w:val="23"/>
        </w:numPr>
      </w:pPr>
      <w:r>
        <w:t xml:space="preserve">The chair and deputy chair accepted the minutes of the previous meeting with one </w:t>
      </w:r>
      <w:r w:rsidR="001A2C8E">
        <w:t>amendment – the meeting was held by Zoom</w:t>
      </w:r>
      <w:r w:rsidR="00A4350B">
        <w:t>, not Teams.</w:t>
      </w:r>
    </w:p>
    <w:p w14:paraId="064345A4" w14:textId="53D30EE8" w:rsidR="00BF5CFA" w:rsidRDefault="00636F40" w:rsidP="006350BD">
      <w:r>
        <w:rPr>
          <w:b/>
          <w:bCs/>
        </w:rPr>
        <w:t xml:space="preserve">6. </w:t>
      </w:r>
      <w:r w:rsidR="00B74646">
        <w:rPr>
          <w:b/>
          <w:bCs/>
        </w:rPr>
        <w:t>Actions of previous meetings</w:t>
      </w:r>
    </w:p>
    <w:tbl>
      <w:tblPr>
        <w:tblStyle w:val="TableGrid"/>
        <w:tblW w:w="0" w:type="auto"/>
        <w:tblLook w:val="04A0" w:firstRow="1" w:lastRow="0" w:firstColumn="1" w:lastColumn="0" w:noHBand="0" w:noVBand="1"/>
      </w:tblPr>
      <w:tblGrid>
        <w:gridCol w:w="335"/>
        <w:gridCol w:w="3268"/>
        <w:gridCol w:w="1218"/>
        <w:gridCol w:w="2000"/>
        <w:gridCol w:w="2195"/>
      </w:tblGrid>
      <w:tr w:rsidR="00BF5CFA" w:rsidRPr="00E156BF" w14:paraId="0ECB4425" w14:textId="6DA9547D" w:rsidTr="00E156BF">
        <w:tc>
          <w:tcPr>
            <w:tcW w:w="334" w:type="dxa"/>
            <w:shd w:val="clear" w:color="auto" w:fill="4472C4" w:themeFill="accent1"/>
          </w:tcPr>
          <w:p w14:paraId="4A1A76DB" w14:textId="77777777" w:rsidR="00BF5CFA" w:rsidRPr="00E156BF" w:rsidRDefault="00BF5CFA" w:rsidP="009C6040">
            <w:pPr>
              <w:rPr>
                <w:b/>
                <w:bCs/>
                <w:color w:val="FFFFFF" w:themeColor="background1"/>
                <w:sz w:val="20"/>
                <w:szCs w:val="20"/>
              </w:rPr>
            </w:pPr>
          </w:p>
        </w:tc>
        <w:tc>
          <w:tcPr>
            <w:tcW w:w="3272" w:type="dxa"/>
            <w:shd w:val="clear" w:color="auto" w:fill="4472C4" w:themeFill="accent1"/>
          </w:tcPr>
          <w:p w14:paraId="744E7B3C" w14:textId="77777777" w:rsidR="00BF5CFA" w:rsidRPr="00E156BF" w:rsidRDefault="00BF5CFA" w:rsidP="009C6040">
            <w:pPr>
              <w:rPr>
                <w:b/>
                <w:bCs/>
                <w:color w:val="FFFFFF" w:themeColor="background1"/>
                <w:sz w:val="20"/>
                <w:szCs w:val="20"/>
              </w:rPr>
            </w:pPr>
            <w:r w:rsidRPr="00E156BF">
              <w:rPr>
                <w:b/>
                <w:bCs/>
                <w:color w:val="FFFFFF" w:themeColor="background1"/>
                <w:sz w:val="20"/>
                <w:szCs w:val="20"/>
              </w:rPr>
              <w:t>Action</w:t>
            </w:r>
          </w:p>
        </w:tc>
        <w:tc>
          <w:tcPr>
            <w:tcW w:w="1209" w:type="dxa"/>
            <w:shd w:val="clear" w:color="auto" w:fill="4472C4" w:themeFill="accent1"/>
          </w:tcPr>
          <w:p w14:paraId="01DA982C" w14:textId="77777777" w:rsidR="00BF5CFA" w:rsidRPr="00E156BF" w:rsidRDefault="00BF5CFA" w:rsidP="009C6040">
            <w:pPr>
              <w:rPr>
                <w:b/>
                <w:bCs/>
                <w:color w:val="FFFFFF" w:themeColor="background1"/>
                <w:sz w:val="20"/>
                <w:szCs w:val="20"/>
              </w:rPr>
            </w:pPr>
            <w:r w:rsidRPr="00E156BF">
              <w:rPr>
                <w:b/>
                <w:bCs/>
                <w:color w:val="FFFFFF" w:themeColor="background1"/>
                <w:sz w:val="20"/>
                <w:szCs w:val="20"/>
              </w:rPr>
              <w:t>Responsible Party</w:t>
            </w:r>
          </w:p>
        </w:tc>
        <w:tc>
          <w:tcPr>
            <w:tcW w:w="2002" w:type="dxa"/>
            <w:shd w:val="clear" w:color="auto" w:fill="4472C4" w:themeFill="accent1"/>
          </w:tcPr>
          <w:p w14:paraId="3A0C8EB3" w14:textId="77777777" w:rsidR="00BF5CFA" w:rsidRPr="00E156BF" w:rsidRDefault="00BF5CFA" w:rsidP="009C6040">
            <w:pPr>
              <w:rPr>
                <w:b/>
                <w:bCs/>
                <w:color w:val="FFFFFF" w:themeColor="background1"/>
                <w:sz w:val="20"/>
                <w:szCs w:val="20"/>
              </w:rPr>
            </w:pPr>
            <w:r w:rsidRPr="00E156BF">
              <w:rPr>
                <w:b/>
                <w:bCs/>
                <w:color w:val="FFFFFF" w:themeColor="background1"/>
                <w:sz w:val="20"/>
                <w:szCs w:val="20"/>
              </w:rPr>
              <w:t xml:space="preserve">Due </w:t>
            </w:r>
          </w:p>
        </w:tc>
        <w:tc>
          <w:tcPr>
            <w:tcW w:w="2199" w:type="dxa"/>
            <w:shd w:val="clear" w:color="auto" w:fill="ED7D31" w:themeFill="accent2"/>
          </w:tcPr>
          <w:p w14:paraId="141B3EF1" w14:textId="2509A90A" w:rsidR="00BF5CFA" w:rsidRPr="00E156BF" w:rsidRDefault="00BF5CFA" w:rsidP="009C6040">
            <w:pPr>
              <w:rPr>
                <w:b/>
                <w:bCs/>
                <w:color w:val="FFFFFF" w:themeColor="background1"/>
                <w:sz w:val="20"/>
                <w:szCs w:val="20"/>
              </w:rPr>
            </w:pPr>
            <w:r w:rsidRPr="00E156BF">
              <w:rPr>
                <w:b/>
                <w:bCs/>
                <w:color w:val="FFFFFF" w:themeColor="background1"/>
                <w:sz w:val="20"/>
                <w:szCs w:val="20"/>
              </w:rPr>
              <w:t>Status</w:t>
            </w:r>
          </w:p>
        </w:tc>
      </w:tr>
      <w:tr w:rsidR="00BF5CFA" w:rsidRPr="00E156BF" w14:paraId="2AB4937F" w14:textId="0DAD23C7" w:rsidTr="00E156BF">
        <w:tc>
          <w:tcPr>
            <w:tcW w:w="334" w:type="dxa"/>
          </w:tcPr>
          <w:p w14:paraId="27020520" w14:textId="77777777" w:rsidR="00BF5CFA" w:rsidRPr="00E156BF" w:rsidRDefault="00BF5CFA" w:rsidP="009C6040">
            <w:pPr>
              <w:rPr>
                <w:sz w:val="20"/>
                <w:szCs w:val="20"/>
              </w:rPr>
            </w:pPr>
            <w:r w:rsidRPr="00E156BF">
              <w:rPr>
                <w:sz w:val="20"/>
                <w:szCs w:val="20"/>
              </w:rPr>
              <w:t>1</w:t>
            </w:r>
          </w:p>
        </w:tc>
        <w:tc>
          <w:tcPr>
            <w:tcW w:w="3272" w:type="dxa"/>
          </w:tcPr>
          <w:p w14:paraId="138B739F" w14:textId="77777777" w:rsidR="00BF5CFA" w:rsidRPr="00E156BF" w:rsidRDefault="00BF5CFA" w:rsidP="009C6040">
            <w:pPr>
              <w:rPr>
                <w:sz w:val="20"/>
                <w:szCs w:val="20"/>
              </w:rPr>
            </w:pPr>
            <w:r w:rsidRPr="00E156BF">
              <w:rPr>
                <w:sz w:val="20"/>
                <w:szCs w:val="20"/>
              </w:rPr>
              <w:t>Confirm dates for 2023 committee meetings and distribute to committee members:</w:t>
            </w:r>
          </w:p>
          <w:p w14:paraId="67DF49D1" w14:textId="77777777" w:rsidR="00BF5CFA" w:rsidRPr="00E156BF" w:rsidRDefault="00BF5CFA" w:rsidP="009C6040">
            <w:pPr>
              <w:pStyle w:val="ListParagraph"/>
              <w:numPr>
                <w:ilvl w:val="0"/>
                <w:numId w:val="4"/>
              </w:numPr>
              <w:rPr>
                <w:sz w:val="20"/>
                <w:szCs w:val="20"/>
              </w:rPr>
            </w:pPr>
            <w:r w:rsidRPr="00E156BF">
              <w:rPr>
                <w:sz w:val="20"/>
                <w:szCs w:val="20"/>
              </w:rPr>
              <w:t xml:space="preserve">Confirming meeting dates and times with committee leadership </w:t>
            </w:r>
          </w:p>
          <w:p w14:paraId="7C1FB375" w14:textId="77777777" w:rsidR="00BF5CFA" w:rsidRPr="00E156BF" w:rsidRDefault="00BF5CFA" w:rsidP="009C6040">
            <w:pPr>
              <w:pStyle w:val="ListParagraph"/>
              <w:numPr>
                <w:ilvl w:val="0"/>
                <w:numId w:val="4"/>
              </w:numPr>
              <w:rPr>
                <w:sz w:val="20"/>
                <w:szCs w:val="20"/>
              </w:rPr>
            </w:pPr>
            <w:r w:rsidRPr="00E156BF">
              <w:rPr>
                <w:sz w:val="20"/>
                <w:szCs w:val="20"/>
              </w:rPr>
              <w:t>Confirm dates with CAETS (Ruth David) avoiding any potential clashes with other CAETS committees</w:t>
            </w:r>
          </w:p>
          <w:p w14:paraId="67349C38" w14:textId="77777777" w:rsidR="00BF5CFA" w:rsidRPr="00E156BF" w:rsidRDefault="00BF5CFA" w:rsidP="009C6040">
            <w:pPr>
              <w:pStyle w:val="ListParagraph"/>
              <w:numPr>
                <w:ilvl w:val="0"/>
                <w:numId w:val="4"/>
              </w:numPr>
              <w:rPr>
                <w:sz w:val="20"/>
                <w:szCs w:val="20"/>
              </w:rPr>
            </w:pPr>
            <w:r w:rsidRPr="00E156BF">
              <w:rPr>
                <w:sz w:val="20"/>
                <w:szCs w:val="20"/>
              </w:rPr>
              <w:t>Proceed with calendar invitations for dates/times agreed by the committee</w:t>
            </w:r>
          </w:p>
          <w:p w14:paraId="6859EEFA" w14:textId="77777777" w:rsidR="00BF5CFA" w:rsidRPr="00E156BF" w:rsidRDefault="00BF5CFA" w:rsidP="009C6040">
            <w:pPr>
              <w:rPr>
                <w:sz w:val="20"/>
                <w:szCs w:val="20"/>
              </w:rPr>
            </w:pPr>
          </w:p>
        </w:tc>
        <w:tc>
          <w:tcPr>
            <w:tcW w:w="1209" w:type="dxa"/>
          </w:tcPr>
          <w:p w14:paraId="5D31D678" w14:textId="77777777" w:rsidR="00BF5CFA" w:rsidRPr="00E156BF" w:rsidRDefault="00BF5CFA" w:rsidP="009C6040">
            <w:pPr>
              <w:rPr>
                <w:sz w:val="20"/>
                <w:szCs w:val="20"/>
              </w:rPr>
            </w:pPr>
            <w:r w:rsidRPr="00E156BF">
              <w:rPr>
                <w:sz w:val="20"/>
                <w:szCs w:val="20"/>
              </w:rPr>
              <w:t>ATSE secretariat</w:t>
            </w:r>
          </w:p>
        </w:tc>
        <w:tc>
          <w:tcPr>
            <w:tcW w:w="2002" w:type="dxa"/>
          </w:tcPr>
          <w:p w14:paraId="5BFD97C7" w14:textId="77777777" w:rsidR="00BF5CFA" w:rsidRPr="00E156BF" w:rsidRDefault="00BF5CFA" w:rsidP="009C6040">
            <w:pPr>
              <w:rPr>
                <w:sz w:val="20"/>
                <w:szCs w:val="20"/>
              </w:rPr>
            </w:pPr>
            <w:r w:rsidRPr="00E156BF">
              <w:rPr>
                <w:sz w:val="20"/>
                <w:szCs w:val="20"/>
              </w:rPr>
              <w:t>ASAP</w:t>
            </w:r>
          </w:p>
        </w:tc>
        <w:tc>
          <w:tcPr>
            <w:tcW w:w="2199" w:type="dxa"/>
            <w:shd w:val="clear" w:color="auto" w:fill="FBE4D5" w:themeFill="accent2" w:themeFillTint="33"/>
          </w:tcPr>
          <w:p w14:paraId="533A982E" w14:textId="49D81D72" w:rsidR="00A4350B" w:rsidRPr="00E156BF" w:rsidRDefault="00A4350B" w:rsidP="009C6040">
            <w:pPr>
              <w:rPr>
                <w:sz w:val="20"/>
                <w:szCs w:val="20"/>
              </w:rPr>
            </w:pPr>
            <w:r w:rsidRPr="00E156BF">
              <w:rPr>
                <w:b/>
                <w:bCs/>
                <w:sz w:val="20"/>
                <w:szCs w:val="20"/>
              </w:rPr>
              <w:t>COMPLETE</w:t>
            </w:r>
          </w:p>
          <w:p w14:paraId="6142C1D6" w14:textId="77777777" w:rsidR="00A4350B" w:rsidRPr="00E156BF" w:rsidRDefault="00A4350B" w:rsidP="009C6040">
            <w:pPr>
              <w:rPr>
                <w:sz w:val="20"/>
                <w:szCs w:val="20"/>
              </w:rPr>
            </w:pPr>
          </w:p>
          <w:p w14:paraId="464236B3" w14:textId="7E976A9F" w:rsidR="00867553" w:rsidRPr="00E156BF" w:rsidRDefault="008E71FB" w:rsidP="009C6040">
            <w:pPr>
              <w:rPr>
                <w:sz w:val="20"/>
                <w:szCs w:val="20"/>
              </w:rPr>
            </w:pPr>
            <w:r w:rsidRPr="00E156BF">
              <w:rPr>
                <w:sz w:val="20"/>
                <w:szCs w:val="20"/>
              </w:rPr>
              <w:t xml:space="preserve">Proposed times accepted by the group with the first meeting moved back to 9 March. </w:t>
            </w:r>
            <w:r w:rsidR="00867553" w:rsidRPr="00E156BF">
              <w:rPr>
                <w:sz w:val="20"/>
                <w:szCs w:val="20"/>
              </w:rPr>
              <w:t xml:space="preserve"> </w:t>
            </w:r>
          </w:p>
        </w:tc>
      </w:tr>
      <w:tr w:rsidR="00BF5CFA" w:rsidRPr="00E156BF" w14:paraId="7B4BFAD2" w14:textId="3C2BF306" w:rsidTr="00E156BF">
        <w:tc>
          <w:tcPr>
            <w:tcW w:w="334" w:type="dxa"/>
          </w:tcPr>
          <w:p w14:paraId="6C8B3FAF" w14:textId="77777777" w:rsidR="00BF5CFA" w:rsidRPr="00E156BF" w:rsidRDefault="00BF5CFA" w:rsidP="009C6040">
            <w:pPr>
              <w:rPr>
                <w:sz w:val="20"/>
                <w:szCs w:val="20"/>
              </w:rPr>
            </w:pPr>
            <w:r w:rsidRPr="00E156BF">
              <w:rPr>
                <w:sz w:val="20"/>
                <w:szCs w:val="20"/>
              </w:rPr>
              <w:t>2</w:t>
            </w:r>
          </w:p>
        </w:tc>
        <w:tc>
          <w:tcPr>
            <w:tcW w:w="3272" w:type="dxa"/>
          </w:tcPr>
          <w:p w14:paraId="35170088" w14:textId="77777777" w:rsidR="00BF5CFA" w:rsidRPr="00E156BF" w:rsidRDefault="00BF5CFA" w:rsidP="009C6040">
            <w:pPr>
              <w:rPr>
                <w:sz w:val="20"/>
                <w:szCs w:val="20"/>
              </w:rPr>
            </w:pPr>
            <w:r w:rsidRPr="00E156BF">
              <w:rPr>
                <w:sz w:val="20"/>
                <w:szCs w:val="20"/>
              </w:rPr>
              <w:t xml:space="preserve">Reach out to </w:t>
            </w:r>
            <w:proofErr w:type="spellStart"/>
            <w:r w:rsidRPr="00E156BF">
              <w:rPr>
                <w:sz w:val="20"/>
                <w:szCs w:val="20"/>
              </w:rPr>
              <w:t>EuroCASE</w:t>
            </w:r>
            <w:proofErr w:type="spellEnd"/>
            <w:r w:rsidRPr="00E156BF">
              <w:rPr>
                <w:sz w:val="20"/>
                <w:szCs w:val="20"/>
              </w:rPr>
              <w:t xml:space="preserve"> regarding their approach to communications</w:t>
            </w:r>
          </w:p>
        </w:tc>
        <w:tc>
          <w:tcPr>
            <w:tcW w:w="1209" w:type="dxa"/>
          </w:tcPr>
          <w:p w14:paraId="4E7C20DF" w14:textId="77777777" w:rsidR="00BF5CFA" w:rsidRPr="00E156BF" w:rsidRDefault="00BF5CFA" w:rsidP="009C6040">
            <w:pPr>
              <w:rPr>
                <w:sz w:val="20"/>
                <w:szCs w:val="20"/>
              </w:rPr>
            </w:pPr>
            <w:r w:rsidRPr="00E156BF">
              <w:rPr>
                <w:sz w:val="20"/>
                <w:szCs w:val="20"/>
              </w:rPr>
              <w:t>Lucas (chair)</w:t>
            </w:r>
          </w:p>
        </w:tc>
        <w:tc>
          <w:tcPr>
            <w:tcW w:w="2002" w:type="dxa"/>
          </w:tcPr>
          <w:p w14:paraId="0B05DF16" w14:textId="77777777" w:rsidR="00BF5CFA" w:rsidRPr="00E156BF" w:rsidRDefault="00BF5CFA" w:rsidP="009C6040">
            <w:pPr>
              <w:rPr>
                <w:sz w:val="20"/>
                <w:szCs w:val="20"/>
              </w:rPr>
            </w:pPr>
            <w:r w:rsidRPr="00E156BF">
              <w:rPr>
                <w:sz w:val="20"/>
                <w:szCs w:val="20"/>
              </w:rPr>
              <w:t>Before next meeting</w:t>
            </w:r>
          </w:p>
        </w:tc>
        <w:tc>
          <w:tcPr>
            <w:tcW w:w="2199" w:type="dxa"/>
          </w:tcPr>
          <w:p w14:paraId="522DDF88" w14:textId="02F717EC" w:rsidR="00206C88" w:rsidRPr="00E156BF" w:rsidRDefault="00206C88" w:rsidP="009C6040">
            <w:pPr>
              <w:rPr>
                <w:b/>
                <w:bCs/>
                <w:sz w:val="20"/>
                <w:szCs w:val="20"/>
              </w:rPr>
            </w:pPr>
            <w:r w:rsidRPr="00E156BF">
              <w:rPr>
                <w:b/>
                <w:bCs/>
                <w:sz w:val="20"/>
                <w:szCs w:val="20"/>
              </w:rPr>
              <w:t>In progress</w:t>
            </w:r>
          </w:p>
          <w:p w14:paraId="286C95C0" w14:textId="77777777" w:rsidR="00206C88" w:rsidRPr="00E156BF" w:rsidRDefault="00206C88" w:rsidP="009C6040">
            <w:pPr>
              <w:rPr>
                <w:sz w:val="20"/>
                <w:szCs w:val="20"/>
              </w:rPr>
            </w:pPr>
          </w:p>
          <w:p w14:paraId="7D1709A3" w14:textId="6FD2B0C6" w:rsidR="00BF5CFA" w:rsidRPr="00E156BF" w:rsidRDefault="00BF5CFA" w:rsidP="00F61374">
            <w:pPr>
              <w:rPr>
                <w:sz w:val="20"/>
                <w:szCs w:val="20"/>
              </w:rPr>
            </w:pPr>
          </w:p>
        </w:tc>
      </w:tr>
      <w:tr w:rsidR="00BF5CFA" w:rsidRPr="00E156BF" w14:paraId="36217F87" w14:textId="3DAD1DBE" w:rsidTr="00E156BF">
        <w:tc>
          <w:tcPr>
            <w:tcW w:w="334" w:type="dxa"/>
          </w:tcPr>
          <w:p w14:paraId="2CE25475" w14:textId="77777777" w:rsidR="00BF5CFA" w:rsidRPr="00E156BF" w:rsidRDefault="00BF5CFA" w:rsidP="009C6040">
            <w:pPr>
              <w:rPr>
                <w:sz w:val="20"/>
                <w:szCs w:val="20"/>
              </w:rPr>
            </w:pPr>
            <w:r w:rsidRPr="00E156BF">
              <w:rPr>
                <w:sz w:val="20"/>
                <w:szCs w:val="20"/>
              </w:rPr>
              <w:t>3</w:t>
            </w:r>
          </w:p>
        </w:tc>
        <w:tc>
          <w:tcPr>
            <w:tcW w:w="3272" w:type="dxa"/>
          </w:tcPr>
          <w:p w14:paraId="01CEE440" w14:textId="77777777" w:rsidR="00BF5CFA" w:rsidRPr="00E156BF" w:rsidRDefault="00BF5CFA" w:rsidP="009C6040">
            <w:pPr>
              <w:rPr>
                <w:sz w:val="20"/>
                <w:szCs w:val="20"/>
              </w:rPr>
            </w:pPr>
            <w:r w:rsidRPr="00E156BF">
              <w:rPr>
                <w:sz w:val="20"/>
                <w:szCs w:val="20"/>
              </w:rPr>
              <w:t>Check with CAETS (Ruth David) if any additional survey responses were received from CAETS members</w:t>
            </w:r>
          </w:p>
          <w:p w14:paraId="79171342" w14:textId="77777777" w:rsidR="00BF5CFA" w:rsidRPr="00E156BF" w:rsidRDefault="00BF5CFA" w:rsidP="009C6040">
            <w:pPr>
              <w:pStyle w:val="ListParagraph"/>
              <w:numPr>
                <w:ilvl w:val="0"/>
                <w:numId w:val="4"/>
              </w:numPr>
              <w:rPr>
                <w:sz w:val="20"/>
                <w:szCs w:val="20"/>
              </w:rPr>
            </w:pPr>
            <w:r w:rsidRPr="00E156BF">
              <w:rPr>
                <w:sz w:val="20"/>
                <w:szCs w:val="20"/>
              </w:rPr>
              <w:t>Additional contacts for wider committee membership</w:t>
            </w:r>
          </w:p>
          <w:p w14:paraId="054ACB09" w14:textId="77777777" w:rsidR="00BF5CFA" w:rsidRPr="00E156BF" w:rsidRDefault="00BF5CFA" w:rsidP="009C6040">
            <w:pPr>
              <w:pStyle w:val="ListParagraph"/>
              <w:numPr>
                <w:ilvl w:val="0"/>
                <w:numId w:val="4"/>
              </w:numPr>
              <w:rPr>
                <w:sz w:val="20"/>
                <w:szCs w:val="20"/>
              </w:rPr>
            </w:pPr>
            <w:r w:rsidRPr="00E156BF">
              <w:rPr>
                <w:sz w:val="20"/>
                <w:szCs w:val="20"/>
              </w:rPr>
              <w:t>Responses to the communications questions</w:t>
            </w:r>
          </w:p>
        </w:tc>
        <w:tc>
          <w:tcPr>
            <w:tcW w:w="1209" w:type="dxa"/>
          </w:tcPr>
          <w:p w14:paraId="215BCCA6" w14:textId="77777777" w:rsidR="00BF5CFA" w:rsidRPr="00E156BF" w:rsidRDefault="00BF5CFA" w:rsidP="009C6040">
            <w:pPr>
              <w:rPr>
                <w:sz w:val="20"/>
                <w:szCs w:val="20"/>
              </w:rPr>
            </w:pPr>
            <w:r w:rsidRPr="00E156BF">
              <w:rPr>
                <w:sz w:val="20"/>
                <w:szCs w:val="20"/>
              </w:rPr>
              <w:t>ATSE secretariat</w:t>
            </w:r>
          </w:p>
        </w:tc>
        <w:tc>
          <w:tcPr>
            <w:tcW w:w="2002" w:type="dxa"/>
          </w:tcPr>
          <w:p w14:paraId="59C6AE81" w14:textId="77777777" w:rsidR="00BF5CFA" w:rsidRPr="00E156BF" w:rsidRDefault="00BF5CFA" w:rsidP="009C6040">
            <w:pPr>
              <w:rPr>
                <w:sz w:val="20"/>
                <w:szCs w:val="20"/>
              </w:rPr>
            </w:pPr>
            <w:r w:rsidRPr="00E156BF">
              <w:rPr>
                <w:sz w:val="20"/>
                <w:szCs w:val="20"/>
              </w:rPr>
              <w:t>Before next meeting</w:t>
            </w:r>
          </w:p>
        </w:tc>
        <w:tc>
          <w:tcPr>
            <w:tcW w:w="2199" w:type="dxa"/>
            <w:shd w:val="clear" w:color="auto" w:fill="FBE4D5" w:themeFill="accent2" w:themeFillTint="33"/>
          </w:tcPr>
          <w:p w14:paraId="1132B9EB" w14:textId="3A7D7C4B" w:rsidR="00D008F0" w:rsidRPr="00E156BF" w:rsidRDefault="00D008F0" w:rsidP="009C6040">
            <w:pPr>
              <w:rPr>
                <w:sz w:val="20"/>
                <w:szCs w:val="20"/>
              </w:rPr>
            </w:pPr>
            <w:r w:rsidRPr="00E156BF">
              <w:rPr>
                <w:b/>
                <w:bCs/>
                <w:sz w:val="20"/>
                <w:szCs w:val="20"/>
              </w:rPr>
              <w:t>COMPLETE</w:t>
            </w:r>
          </w:p>
          <w:p w14:paraId="17F9FAF3" w14:textId="77777777" w:rsidR="00D008F0" w:rsidRPr="00E156BF" w:rsidRDefault="00D008F0" w:rsidP="009C6040">
            <w:pPr>
              <w:rPr>
                <w:sz w:val="20"/>
                <w:szCs w:val="20"/>
              </w:rPr>
            </w:pPr>
          </w:p>
          <w:p w14:paraId="2BF01EC1" w14:textId="66F90664" w:rsidR="00D008F0" w:rsidRPr="00E156BF" w:rsidRDefault="00D008F0" w:rsidP="009C6040">
            <w:pPr>
              <w:rPr>
                <w:sz w:val="20"/>
                <w:szCs w:val="20"/>
              </w:rPr>
            </w:pPr>
            <w:r w:rsidRPr="00E156BF">
              <w:rPr>
                <w:sz w:val="20"/>
                <w:szCs w:val="20"/>
              </w:rPr>
              <w:t>ATSE received one additional response from CAETS from the NAE (USA). The Comms contact has been added to the committee distribution list.</w:t>
            </w:r>
          </w:p>
          <w:p w14:paraId="355AC888" w14:textId="7A771852" w:rsidR="00BF5CFA" w:rsidRPr="00E156BF" w:rsidRDefault="00BF5CFA" w:rsidP="009C6040">
            <w:pPr>
              <w:rPr>
                <w:sz w:val="20"/>
                <w:szCs w:val="20"/>
              </w:rPr>
            </w:pPr>
          </w:p>
        </w:tc>
      </w:tr>
      <w:tr w:rsidR="00BF5CFA" w:rsidRPr="00E156BF" w14:paraId="7770D51E" w14:textId="1CF65AAE" w:rsidTr="00E156BF">
        <w:tc>
          <w:tcPr>
            <w:tcW w:w="334" w:type="dxa"/>
          </w:tcPr>
          <w:p w14:paraId="3E2630C4" w14:textId="77777777" w:rsidR="00BF5CFA" w:rsidRPr="00E156BF" w:rsidRDefault="00BF5CFA" w:rsidP="009C6040">
            <w:pPr>
              <w:rPr>
                <w:sz w:val="20"/>
                <w:szCs w:val="20"/>
              </w:rPr>
            </w:pPr>
            <w:r w:rsidRPr="00E156BF">
              <w:rPr>
                <w:sz w:val="20"/>
                <w:szCs w:val="20"/>
              </w:rPr>
              <w:t>4</w:t>
            </w:r>
          </w:p>
        </w:tc>
        <w:tc>
          <w:tcPr>
            <w:tcW w:w="3272" w:type="dxa"/>
          </w:tcPr>
          <w:p w14:paraId="5A29970F" w14:textId="77777777" w:rsidR="00BF5CFA" w:rsidRPr="00E156BF" w:rsidRDefault="00BF5CFA" w:rsidP="009C6040">
            <w:pPr>
              <w:rPr>
                <w:sz w:val="20"/>
                <w:szCs w:val="20"/>
              </w:rPr>
            </w:pPr>
            <w:r w:rsidRPr="00E156BF">
              <w:rPr>
                <w:sz w:val="20"/>
                <w:szCs w:val="20"/>
              </w:rPr>
              <w:t>Update Communications Prize documentation</w:t>
            </w:r>
          </w:p>
        </w:tc>
        <w:tc>
          <w:tcPr>
            <w:tcW w:w="1209" w:type="dxa"/>
          </w:tcPr>
          <w:p w14:paraId="0894FBB6" w14:textId="77777777" w:rsidR="00BF5CFA" w:rsidRPr="00E156BF" w:rsidRDefault="00BF5CFA" w:rsidP="009C6040">
            <w:pPr>
              <w:rPr>
                <w:sz w:val="20"/>
                <w:szCs w:val="20"/>
              </w:rPr>
            </w:pPr>
            <w:r w:rsidRPr="00E156BF">
              <w:rPr>
                <w:sz w:val="20"/>
                <w:szCs w:val="20"/>
              </w:rPr>
              <w:t>ATSE secretariat</w:t>
            </w:r>
          </w:p>
        </w:tc>
        <w:tc>
          <w:tcPr>
            <w:tcW w:w="2002" w:type="dxa"/>
          </w:tcPr>
          <w:p w14:paraId="56891FC0" w14:textId="77777777" w:rsidR="00BF5CFA" w:rsidRPr="00E156BF" w:rsidRDefault="00BF5CFA" w:rsidP="009C6040">
            <w:pPr>
              <w:pStyle w:val="ListParagraph"/>
              <w:numPr>
                <w:ilvl w:val="0"/>
                <w:numId w:val="6"/>
              </w:numPr>
              <w:ind w:left="172" w:hanging="218"/>
              <w:rPr>
                <w:sz w:val="20"/>
                <w:szCs w:val="20"/>
              </w:rPr>
            </w:pPr>
            <w:r w:rsidRPr="00E156BF">
              <w:rPr>
                <w:sz w:val="20"/>
                <w:szCs w:val="20"/>
              </w:rPr>
              <w:t>Circulate draft by Feb 14 (1 week before next meeting)</w:t>
            </w:r>
          </w:p>
          <w:p w14:paraId="6593F026" w14:textId="77777777" w:rsidR="00BF5CFA" w:rsidRPr="00E156BF" w:rsidRDefault="00BF5CFA" w:rsidP="009C6040">
            <w:pPr>
              <w:pStyle w:val="ListParagraph"/>
              <w:numPr>
                <w:ilvl w:val="0"/>
                <w:numId w:val="6"/>
              </w:numPr>
              <w:ind w:left="172" w:hanging="218"/>
              <w:rPr>
                <w:sz w:val="20"/>
                <w:szCs w:val="20"/>
              </w:rPr>
            </w:pPr>
            <w:r w:rsidRPr="00E156BF">
              <w:rPr>
                <w:sz w:val="20"/>
                <w:szCs w:val="20"/>
              </w:rPr>
              <w:t>Review and finalise draft at next meeting</w:t>
            </w:r>
          </w:p>
        </w:tc>
        <w:tc>
          <w:tcPr>
            <w:tcW w:w="2199" w:type="dxa"/>
            <w:shd w:val="clear" w:color="auto" w:fill="FBE4D5" w:themeFill="accent2" w:themeFillTint="33"/>
          </w:tcPr>
          <w:p w14:paraId="28609A2C" w14:textId="373C08DC" w:rsidR="00596AD8" w:rsidRPr="00E156BF" w:rsidRDefault="00596AD8" w:rsidP="00C95CCF">
            <w:pPr>
              <w:ind w:left="-46"/>
              <w:rPr>
                <w:sz w:val="20"/>
                <w:szCs w:val="20"/>
              </w:rPr>
            </w:pPr>
            <w:r w:rsidRPr="00E156BF">
              <w:rPr>
                <w:b/>
                <w:bCs/>
                <w:sz w:val="20"/>
                <w:szCs w:val="20"/>
              </w:rPr>
              <w:t>COMPLETE</w:t>
            </w:r>
          </w:p>
          <w:p w14:paraId="6F3B66E1" w14:textId="77777777" w:rsidR="00596AD8" w:rsidRPr="00E156BF" w:rsidRDefault="00596AD8" w:rsidP="00C95CCF">
            <w:pPr>
              <w:ind w:left="-46"/>
              <w:rPr>
                <w:sz w:val="20"/>
                <w:szCs w:val="20"/>
              </w:rPr>
            </w:pPr>
          </w:p>
          <w:p w14:paraId="32018BCB" w14:textId="379E7757" w:rsidR="00BF5CFA" w:rsidRPr="00E156BF" w:rsidRDefault="00596AD8" w:rsidP="00596AD8">
            <w:pPr>
              <w:ind w:left="-46"/>
              <w:rPr>
                <w:sz w:val="20"/>
                <w:szCs w:val="20"/>
              </w:rPr>
            </w:pPr>
            <w:r w:rsidRPr="00E156BF">
              <w:rPr>
                <w:sz w:val="20"/>
                <w:szCs w:val="20"/>
              </w:rPr>
              <w:t>Final revisions needed for launch of prize round in March – see agenda item 2 and associated actions.</w:t>
            </w:r>
          </w:p>
        </w:tc>
      </w:tr>
      <w:tr w:rsidR="00BF5CFA" w:rsidRPr="00E156BF" w14:paraId="5816555A" w14:textId="7891FABE" w:rsidTr="00E156BF">
        <w:tc>
          <w:tcPr>
            <w:tcW w:w="334" w:type="dxa"/>
          </w:tcPr>
          <w:p w14:paraId="3EACCEA5" w14:textId="77777777" w:rsidR="00BF5CFA" w:rsidRPr="00E156BF" w:rsidRDefault="00BF5CFA" w:rsidP="009C6040">
            <w:pPr>
              <w:rPr>
                <w:sz w:val="20"/>
                <w:szCs w:val="20"/>
              </w:rPr>
            </w:pPr>
            <w:r w:rsidRPr="00E156BF">
              <w:rPr>
                <w:sz w:val="20"/>
                <w:szCs w:val="20"/>
              </w:rPr>
              <w:t>5</w:t>
            </w:r>
          </w:p>
        </w:tc>
        <w:tc>
          <w:tcPr>
            <w:tcW w:w="3272" w:type="dxa"/>
          </w:tcPr>
          <w:p w14:paraId="06805567" w14:textId="77777777" w:rsidR="00BF5CFA" w:rsidRPr="00E156BF" w:rsidRDefault="00BF5CFA" w:rsidP="009C6040">
            <w:pPr>
              <w:rPr>
                <w:sz w:val="20"/>
                <w:szCs w:val="20"/>
              </w:rPr>
            </w:pPr>
            <w:r w:rsidRPr="00E156BF">
              <w:rPr>
                <w:sz w:val="20"/>
                <w:szCs w:val="20"/>
              </w:rPr>
              <w:t>Committee chair to put CAETS style guide on the agenda for next meeting.</w:t>
            </w:r>
          </w:p>
        </w:tc>
        <w:tc>
          <w:tcPr>
            <w:tcW w:w="1209" w:type="dxa"/>
          </w:tcPr>
          <w:p w14:paraId="04591282" w14:textId="77777777" w:rsidR="00BF5CFA" w:rsidRPr="00E156BF" w:rsidRDefault="00BF5CFA" w:rsidP="009C6040">
            <w:pPr>
              <w:rPr>
                <w:sz w:val="20"/>
                <w:szCs w:val="20"/>
              </w:rPr>
            </w:pPr>
            <w:r w:rsidRPr="00E156BF">
              <w:rPr>
                <w:sz w:val="20"/>
                <w:szCs w:val="20"/>
              </w:rPr>
              <w:t>Lucas (chair)</w:t>
            </w:r>
          </w:p>
        </w:tc>
        <w:tc>
          <w:tcPr>
            <w:tcW w:w="2002" w:type="dxa"/>
          </w:tcPr>
          <w:p w14:paraId="6827C0A4" w14:textId="77777777" w:rsidR="00BF5CFA" w:rsidRPr="00E156BF" w:rsidRDefault="00BF5CFA" w:rsidP="009C6040">
            <w:pPr>
              <w:rPr>
                <w:sz w:val="20"/>
                <w:szCs w:val="20"/>
              </w:rPr>
            </w:pPr>
            <w:r w:rsidRPr="00E156BF">
              <w:rPr>
                <w:sz w:val="20"/>
                <w:szCs w:val="20"/>
              </w:rPr>
              <w:t>February meeting of Communication committee</w:t>
            </w:r>
          </w:p>
        </w:tc>
        <w:tc>
          <w:tcPr>
            <w:tcW w:w="2199" w:type="dxa"/>
            <w:shd w:val="clear" w:color="auto" w:fill="FBE4D5" w:themeFill="accent2" w:themeFillTint="33"/>
          </w:tcPr>
          <w:p w14:paraId="134D3BDB" w14:textId="46EF983F" w:rsidR="00BF5CFA" w:rsidRPr="00E156BF" w:rsidRDefault="003A5374" w:rsidP="009C6040">
            <w:pPr>
              <w:rPr>
                <w:sz w:val="20"/>
                <w:szCs w:val="20"/>
              </w:rPr>
            </w:pPr>
            <w:r w:rsidRPr="00E156BF">
              <w:rPr>
                <w:b/>
                <w:bCs/>
                <w:sz w:val="20"/>
                <w:szCs w:val="20"/>
              </w:rPr>
              <w:t>COMPLETE</w:t>
            </w:r>
          </w:p>
        </w:tc>
      </w:tr>
      <w:tr w:rsidR="00BF5CFA" w:rsidRPr="00E156BF" w14:paraId="2E7CE700" w14:textId="643845E3" w:rsidTr="00E156BF">
        <w:tc>
          <w:tcPr>
            <w:tcW w:w="334" w:type="dxa"/>
          </w:tcPr>
          <w:p w14:paraId="6BD54E9C" w14:textId="77777777" w:rsidR="00BF5CFA" w:rsidRPr="00E156BF" w:rsidRDefault="00BF5CFA" w:rsidP="009C6040">
            <w:pPr>
              <w:rPr>
                <w:sz w:val="20"/>
                <w:szCs w:val="20"/>
              </w:rPr>
            </w:pPr>
            <w:r w:rsidRPr="00E156BF">
              <w:rPr>
                <w:sz w:val="20"/>
                <w:szCs w:val="20"/>
              </w:rPr>
              <w:lastRenderedPageBreak/>
              <w:t>6</w:t>
            </w:r>
          </w:p>
        </w:tc>
        <w:tc>
          <w:tcPr>
            <w:tcW w:w="3272" w:type="dxa"/>
          </w:tcPr>
          <w:p w14:paraId="7135AC9B" w14:textId="77777777" w:rsidR="00BF5CFA" w:rsidRPr="00E156BF" w:rsidRDefault="00BF5CFA" w:rsidP="009C6040">
            <w:pPr>
              <w:rPr>
                <w:sz w:val="20"/>
                <w:szCs w:val="20"/>
              </w:rPr>
            </w:pPr>
            <w:r w:rsidRPr="00E156BF">
              <w:rPr>
                <w:sz w:val="20"/>
                <w:szCs w:val="20"/>
              </w:rPr>
              <w:t>Provide charter revisions to CAETS secretariat for inclusion in the CAETS Operating Guidelines, by:</w:t>
            </w:r>
          </w:p>
          <w:p w14:paraId="332BB2EA" w14:textId="77777777" w:rsidR="00BF5CFA" w:rsidRPr="00E156BF" w:rsidRDefault="00BF5CFA" w:rsidP="009C6040">
            <w:pPr>
              <w:pStyle w:val="ListParagraph"/>
              <w:numPr>
                <w:ilvl w:val="0"/>
                <w:numId w:val="15"/>
              </w:numPr>
              <w:ind w:left="259" w:hanging="218"/>
              <w:rPr>
                <w:sz w:val="20"/>
                <w:szCs w:val="20"/>
              </w:rPr>
            </w:pPr>
            <w:r w:rsidRPr="00E156BF">
              <w:rPr>
                <w:sz w:val="20"/>
                <w:szCs w:val="20"/>
              </w:rPr>
              <w:t xml:space="preserve">Revised wording to be drafted by ATSE secretariat </w:t>
            </w:r>
          </w:p>
          <w:p w14:paraId="2E7B978C" w14:textId="77777777" w:rsidR="00BF5CFA" w:rsidRPr="00E156BF" w:rsidRDefault="00BF5CFA" w:rsidP="009C6040">
            <w:pPr>
              <w:pStyle w:val="ListParagraph"/>
              <w:numPr>
                <w:ilvl w:val="0"/>
                <w:numId w:val="15"/>
              </w:numPr>
              <w:ind w:left="259" w:hanging="218"/>
              <w:rPr>
                <w:sz w:val="20"/>
                <w:szCs w:val="20"/>
              </w:rPr>
            </w:pPr>
            <w:r w:rsidRPr="00E156BF">
              <w:rPr>
                <w:sz w:val="20"/>
                <w:szCs w:val="20"/>
              </w:rPr>
              <w:t>Draft wording provided to the Committee chair and deputy chair for review and approval</w:t>
            </w:r>
          </w:p>
          <w:p w14:paraId="567195D9" w14:textId="77777777" w:rsidR="00BF5CFA" w:rsidRPr="00E156BF" w:rsidRDefault="00BF5CFA" w:rsidP="009C6040">
            <w:pPr>
              <w:pStyle w:val="ListParagraph"/>
              <w:numPr>
                <w:ilvl w:val="0"/>
                <w:numId w:val="15"/>
              </w:numPr>
              <w:ind w:left="259" w:hanging="218"/>
              <w:rPr>
                <w:sz w:val="20"/>
                <w:szCs w:val="20"/>
              </w:rPr>
            </w:pPr>
            <w:r w:rsidRPr="00E156BF">
              <w:rPr>
                <w:sz w:val="20"/>
                <w:szCs w:val="20"/>
              </w:rPr>
              <w:t>Committee chair to provide final agreed revisions to CAETS secretariat</w:t>
            </w:r>
          </w:p>
        </w:tc>
        <w:tc>
          <w:tcPr>
            <w:tcW w:w="1209" w:type="dxa"/>
          </w:tcPr>
          <w:p w14:paraId="5E8E8451" w14:textId="77777777" w:rsidR="00BF5CFA" w:rsidRPr="00E156BF" w:rsidRDefault="00BF5CFA" w:rsidP="009C6040">
            <w:pPr>
              <w:rPr>
                <w:sz w:val="20"/>
                <w:szCs w:val="20"/>
              </w:rPr>
            </w:pPr>
            <w:r w:rsidRPr="00E156BF">
              <w:rPr>
                <w:sz w:val="20"/>
                <w:szCs w:val="20"/>
              </w:rPr>
              <w:t>All</w:t>
            </w:r>
          </w:p>
        </w:tc>
        <w:tc>
          <w:tcPr>
            <w:tcW w:w="2002" w:type="dxa"/>
          </w:tcPr>
          <w:p w14:paraId="1C76F324" w14:textId="77777777" w:rsidR="00BF5CFA" w:rsidRPr="00E156BF" w:rsidRDefault="00BF5CFA" w:rsidP="009C6040">
            <w:pPr>
              <w:rPr>
                <w:sz w:val="20"/>
                <w:szCs w:val="20"/>
              </w:rPr>
            </w:pPr>
            <w:r w:rsidRPr="00E156BF">
              <w:rPr>
                <w:sz w:val="20"/>
                <w:szCs w:val="20"/>
              </w:rPr>
              <w:t>Draft wording by next meeting (February) for review and approval</w:t>
            </w:r>
          </w:p>
          <w:p w14:paraId="1A5A6C25" w14:textId="77777777" w:rsidR="00BF5CFA" w:rsidRPr="00E156BF" w:rsidRDefault="00BF5CFA" w:rsidP="009C6040">
            <w:pPr>
              <w:rPr>
                <w:sz w:val="20"/>
                <w:szCs w:val="20"/>
              </w:rPr>
            </w:pPr>
          </w:p>
          <w:p w14:paraId="19F38689" w14:textId="77777777" w:rsidR="00BF5CFA" w:rsidRPr="00E156BF" w:rsidRDefault="00BF5CFA" w:rsidP="009C6040">
            <w:pPr>
              <w:rPr>
                <w:sz w:val="20"/>
                <w:szCs w:val="20"/>
              </w:rPr>
            </w:pPr>
            <w:r w:rsidRPr="00E156BF">
              <w:rPr>
                <w:sz w:val="20"/>
                <w:szCs w:val="20"/>
              </w:rPr>
              <w:t>Finalised wording provided to CAETS secretariat ASAP after February meeting</w:t>
            </w:r>
          </w:p>
        </w:tc>
        <w:tc>
          <w:tcPr>
            <w:tcW w:w="2199" w:type="dxa"/>
            <w:shd w:val="clear" w:color="auto" w:fill="FBE4D5" w:themeFill="accent2" w:themeFillTint="33"/>
          </w:tcPr>
          <w:p w14:paraId="5DDE016F" w14:textId="7F81F790" w:rsidR="00443BAF" w:rsidRPr="00E156BF" w:rsidRDefault="008317A0" w:rsidP="009C6040">
            <w:pPr>
              <w:rPr>
                <w:b/>
                <w:bCs/>
                <w:sz w:val="20"/>
                <w:szCs w:val="20"/>
              </w:rPr>
            </w:pPr>
            <w:r w:rsidRPr="00E156BF">
              <w:rPr>
                <w:b/>
                <w:bCs/>
                <w:sz w:val="20"/>
                <w:szCs w:val="20"/>
              </w:rPr>
              <w:t>COMPLETE</w:t>
            </w:r>
          </w:p>
        </w:tc>
      </w:tr>
      <w:tr w:rsidR="00BF5CFA" w:rsidRPr="00E156BF" w14:paraId="2E205123" w14:textId="11E5A932" w:rsidTr="00E156BF">
        <w:tc>
          <w:tcPr>
            <w:tcW w:w="334" w:type="dxa"/>
          </w:tcPr>
          <w:p w14:paraId="08B6AB71" w14:textId="77777777" w:rsidR="00BF5CFA" w:rsidRPr="00E156BF" w:rsidRDefault="00BF5CFA" w:rsidP="009C6040">
            <w:pPr>
              <w:rPr>
                <w:sz w:val="20"/>
                <w:szCs w:val="20"/>
              </w:rPr>
            </w:pPr>
            <w:r w:rsidRPr="00E156BF">
              <w:rPr>
                <w:sz w:val="20"/>
                <w:szCs w:val="20"/>
              </w:rPr>
              <w:t>7</w:t>
            </w:r>
          </w:p>
        </w:tc>
        <w:tc>
          <w:tcPr>
            <w:tcW w:w="3272" w:type="dxa"/>
          </w:tcPr>
          <w:p w14:paraId="62DBC99E" w14:textId="77777777" w:rsidR="00BF5CFA" w:rsidRPr="00E156BF" w:rsidRDefault="00BF5CFA" w:rsidP="009C6040">
            <w:pPr>
              <w:rPr>
                <w:sz w:val="20"/>
                <w:szCs w:val="20"/>
              </w:rPr>
            </w:pPr>
            <w:r w:rsidRPr="00E156BF">
              <w:rPr>
                <w:sz w:val="20"/>
                <w:szCs w:val="20"/>
              </w:rPr>
              <w:t>Include agenda item on quarterly meetings of the CAETS Communications committee - review of other CAETS committee/working group reports/statements</w:t>
            </w:r>
          </w:p>
        </w:tc>
        <w:tc>
          <w:tcPr>
            <w:tcW w:w="1209" w:type="dxa"/>
          </w:tcPr>
          <w:p w14:paraId="24D29BC0" w14:textId="77777777" w:rsidR="00BF5CFA" w:rsidRPr="00E156BF" w:rsidRDefault="00BF5CFA" w:rsidP="009C6040">
            <w:pPr>
              <w:rPr>
                <w:sz w:val="20"/>
                <w:szCs w:val="20"/>
              </w:rPr>
            </w:pPr>
            <w:r w:rsidRPr="00E156BF">
              <w:rPr>
                <w:sz w:val="20"/>
                <w:szCs w:val="20"/>
              </w:rPr>
              <w:t>Lucas (chair)</w:t>
            </w:r>
          </w:p>
        </w:tc>
        <w:tc>
          <w:tcPr>
            <w:tcW w:w="2002" w:type="dxa"/>
          </w:tcPr>
          <w:p w14:paraId="3EADD710" w14:textId="77777777" w:rsidR="00BF5CFA" w:rsidRPr="00E156BF" w:rsidRDefault="00BF5CFA" w:rsidP="009C6040">
            <w:pPr>
              <w:rPr>
                <w:sz w:val="20"/>
                <w:szCs w:val="20"/>
              </w:rPr>
            </w:pPr>
            <w:r w:rsidRPr="00E156BF">
              <w:rPr>
                <w:sz w:val="20"/>
                <w:szCs w:val="20"/>
              </w:rPr>
              <w:t>March committee meeting</w:t>
            </w:r>
          </w:p>
        </w:tc>
        <w:tc>
          <w:tcPr>
            <w:tcW w:w="2199" w:type="dxa"/>
            <w:shd w:val="clear" w:color="auto" w:fill="FBE4D5" w:themeFill="accent2" w:themeFillTint="33"/>
          </w:tcPr>
          <w:p w14:paraId="2455C692" w14:textId="552CF2DB" w:rsidR="00BF5CFA" w:rsidRPr="00E156BF" w:rsidRDefault="004F0164" w:rsidP="009C6040">
            <w:pPr>
              <w:rPr>
                <w:sz w:val="20"/>
                <w:szCs w:val="20"/>
              </w:rPr>
            </w:pPr>
            <w:r w:rsidRPr="00E156BF">
              <w:rPr>
                <w:b/>
                <w:bCs/>
                <w:sz w:val="20"/>
                <w:szCs w:val="20"/>
              </w:rPr>
              <w:t>COMPLETE</w:t>
            </w:r>
          </w:p>
          <w:p w14:paraId="5E798231" w14:textId="77777777" w:rsidR="004F0164" w:rsidRPr="00E156BF" w:rsidRDefault="004F0164" w:rsidP="009C6040">
            <w:pPr>
              <w:rPr>
                <w:sz w:val="20"/>
                <w:szCs w:val="20"/>
              </w:rPr>
            </w:pPr>
          </w:p>
          <w:p w14:paraId="53332C74" w14:textId="7CAD11FF" w:rsidR="004F0164" w:rsidRPr="00E156BF" w:rsidRDefault="004F0164" w:rsidP="009C6040">
            <w:pPr>
              <w:rPr>
                <w:sz w:val="20"/>
                <w:szCs w:val="20"/>
              </w:rPr>
            </w:pPr>
            <w:r w:rsidRPr="00E156BF">
              <w:rPr>
                <w:sz w:val="20"/>
                <w:szCs w:val="20"/>
              </w:rPr>
              <w:t xml:space="preserve">See agenda item 4 and </w:t>
            </w:r>
            <w:r w:rsidR="008317A0" w:rsidRPr="00E156BF">
              <w:rPr>
                <w:sz w:val="20"/>
                <w:szCs w:val="20"/>
              </w:rPr>
              <w:t>matters arising below</w:t>
            </w:r>
          </w:p>
          <w:p w14:paraId="3298A6AD" w14:textId="31EC5365" w:rsidR="00F81D98" w:rsidRPr="00E156BF" w:rsidRDefault="00F81D98" w:rsidP="00F44FAD">
            <w:pPr>
              <w:ind w:firstLine="720"/>
              <w:rPr>
                <w:sz w:val="20"/>
                <w:szCs w:val="20"/>
              </w:rPr>
            </w:pPr>
          </w:p>
        </w:tc>
      </w:tr>
    </w:tbl>
    <w:p w14:paraId="0E05B33E" w14:textId="1A2029CE" w:rsidR="00BE2A48" w:rsidRPr="00D020F7" w:rsidRDefault="001E4F9D" w:rsidP="0091129E">
      <w:pPr>
        <w:spacing w:before="240" w:after="0"/>
        <w:rPr>
          <w:b/>
          <w:bCs/>
        </w:rPr>
      </w:pPr>
      <w:r w:rsidRPr="00D020F7">
        <w:rPr>
          <w:b/>
          <w:bCs/>
        </w:rPr>
        <w:t>Matters arising from actions</w:t>
      </w:r>
      <w:r w:rsidR="00D020F7">
        <w:rPr>
          <w:b/>
          <w:bCs/>
        </w:rPr>
        <w:t xml:space="preserve"> of previous meeting</w:t>
      </w:r>
      <w:r w:rsidRPr="00D020F7">
        <w:rPr>
          <w:b/>
          <w:bCs/>
        </w:rPr>
        <w:t>:</w:t>
      </w:r>
    </w:p>
    <w:p w14:paraId="39597525" w14:textId="77777777" w:rsidR="001E4F9D" w:rsidRDefault="001E4F9D" w:rsidP="00D020F7">
      <w:pPr>
        <w:pStyle w:val="ListParagraph"/>
        <w:numPr>
          <w:ilvl w:val="0"/>
          <w:numId w:val="25"/>
        </w:numPr>
      </w:pPr>
      <w:r>
        <w:t>The chair and deputy chair approved the proposed revision to the CAETS operating guidelines and advised that it can be provided to Ruth David.</w:t>
      </w:r>
    </w:p>
    <w:p w14:paraId="2EAA50D3" w14:textId="120C2486" w:rsidR="00D020F7" w:rsidRDefault="00D020F7" w:rsidP="00D020F7">
      <w:pPr>
        <w:pStyle w:val="ListParagraph"/>
        <w:numPr>
          <w:ilvl w:val="0"/>
          <w:numId w:val="25"/>
        </w:numPr>
      </w:pPr>
      <w:r>
        <w:t xml:space="preserve">The group agreed to approach the CAETS Energy working group and request that they draft a short statement </w:t>
      </w:r>
      <w:r w:rsidR="00CD2C9D">
        <w:t xml:space="preserve">about the key messages of the latest energy report for review and discussion at the 9 March </w:t>
      </w:r>
      <w:r w:rsidR="008317A0">
        <w:t>CAETS Communications committee quarterly meeting.</w:t>
      </w:r>
    </w:p>
    <w:p w14:paraId="530BFD1D" w14:textId="423480D6" w:rsidR="00F61374" w:rsidRDefault="00F61374" w:rsidP="00F61374">
      <w:pPr>
        <w:pStyle w:val="ListParagraph"/>
        <w:numPr>
          <w:ilvl w:val="0"/>
          <w:numId w:val="25"/>
        </w:numPr>
      </w:pPr>
      <w:r>
        <w:t xml:space="preserve">The chair reported that initial investigations indicate that CAETS communications are more advanced than </w:t>
      </w:r>
      <w:proofErr w:type="spellStart"/>
      <w:r>
        <w:t>EuroCASE</w:t>
      </w:r>
      <w:proofErr w:type="spellEnd"/>
      <w:r>
        <w:t xml:space="preserve">, but will seek a meeting with </w:t>
      </w:r>
      <w:proofErr w:type="spellStart"/>
      <w:r>
        <w:t>EuroCASE</w:t>
      </w:r>
      <w:proofErr w:type="spellEnd"/>
      <w:r>
        <w:t xml:space="preserve"> to discuss their work and possible exchange of ideas on best practice. </w:t>
      </w:r>
    </w:p>
    <w:tbl>
      <w:tblPr>
        <w:tblStyle w:val="TableGrid"/>
        <w:tblW w:w="0" w:type="auto"/>
        <w:shd w:val="clear" w:color="auto" w:fill="D9E2F3" w:themeFill="accent1" w:themeFillTint="33"/>
        <w:tblLook w:val="04A0" w:firstRow="1" w:lastRow="0" w:firstColumn="1" w:lastColumn="0" w:noHBand="0" w:noVBand="1"/>
      </w:tblPr>
      <w:tblGrid>
        <w:gridCol w:w="9016"/>
      </w:tblGrid>
      <w:tr w:rsidR="00D020F7" w:rsidRPr="0091129E" w14:paraId="630FCC1B" w14:textId="77777777" w:rsidTr="00D020F7">
        <w:trPr>
          <w:trHeight w:val="582"/>
        </w:trPr>
        <w:tc>
          <w:tcPr>
            <w:tcW w:w="9016" w:type="dxa"/>
            <w:shd w:val="clear" w:color="auto" w:fill="D9E2F3" w:themeFill="accent1" w:themeFillTint="33"/>
            <w:vAlign w:val="center"/>
          </w:tcPr>
          <w:p w14:paraId="50E7864A" w14:textId="77777777" w:rsidR="00D020F7" w:rsidRDefault="00D020F7" w:rsidP="00F61374">
            <w:pPr>
              <w:spacing w:after="120"/>
              <w:rPr>
                <w:b/>
                <w:bCs/>
              </w:rPr>
            </w:pPr>
            <w:r w:rsidRPr="00D020F7">
              <w:rPr>
                <w:b/>
                <w:bCs/>
              </w:rPr>
              <w:t xml:space="preserve">Action </w:t>
            </w:r>
            <w:r>
              <w:rPr>
                <w:b/>
                <w:bCs/>
              </w:rPr>
              <w:t>7</w:t>
            </w:r>
            <w:r w:rsidRPr="00D020F7">
              <w:rPr>
                <w:b/>
                <w:bCs/>
              </w:rPr>
              <w:t xml:space="preserve"> – ATSE to provide revised wording for CAETS operating guidelines to CAETS secretariat</w:t>
            </w:r>
          </w:p>
          <w:p w14:paraId="616E378D" w14:textId="77777777" w:rsidR="008317A0" w:rsidRDefault="008317A0" w:rsidP="00F61374">
            <w:pPr>
              <w:spacing w:after="120"/>
              <w:rPr>
                <w:b/>
                <w:bCs/>
              </w:rPr>
            </w:pPr>
            <w:r>
              <w:rPr>
                <w:b/>
                <w:bCs/>
              </w:rPr>
              <w:t>Action 8 – The chair to approach the CAETS Energy working group regarding a draft statement for consideration at the 9 March quarterly communications meeting.</w:t>
            </w:r>
          </w:p>
          <w:p w14:paraId="5FE804DF" w14:textId="5079FF10" w:rsidR="00F61374" w:rsidRPr="00D020F7" w:rsidRDefault="00F61374" w:rsidP="00F61374">
            <w:pPr>
              <w:spacing w:after="120"/>
            </w:pPr>
            <w:r>
              <w:rPr>
                <w:b/>
                <w:bCs/>
              </w:rPr>
              <w:t xml:space="preserve">Action 9 – The chair to seek a meeting with </w:t>
            </w:r>
            <w:proofErr w:type="spellStart"/>
            <w:r>
              <w:rPr>
                <w:b/>
                <w:bCs/>
              </w:rPr>
              <w:t>EuroCASE</w:t>
            </w:r>
            <w:proofErr w:type="spellEnd"/>
            <w:r>
              <w:rPr>
                <w:b/>
                <w:bCs/>
              </w:rPr>
              <w:t xml:space="preserve"> regarding communications activities and practice.</w:t>
            </w:r>
          </w:p>
        </w:tc>
      </w:tr>
    </w:tbl>
    <w:p w14:paraId="5B37A8AD" w14:textId="6781AA4F" w:rsidR="00A756B3" w:rsidRDefault="00A756B3" w:rsidP="00E65D35">
      <w:pPr>
        <w:spacing w:before="240" w:after="0"/>
      </w:pPr>
      <w:r>
        <w:rPr>
          <w:b/>
          <w:bCs/>
        </w:rPr>
        <w:t>7. Any other business</w:t>
      </w:r>
    </w:p>
    <w:p w14:paraId="113F77EC" w14:textId="53E962FF" w:rsidR="0091129E" w:rsidRDefault="008D2C5E" w:rsidP="00E65D35">
      <w:r>
        <w:t>None</w:t>
      </w:r>
      <w:r w:rsidR="00A95EA3">
        <w:t xml:space="preserve"> raised.</w:t>
      </w:r>
    </w:p>
    <w:p w14:paraId="6BBE148C" w14:textId="77777777" w:rsidR="00A95EA3" w:rsidRDefault="00A95EA3" w:rsidP="0091129E">
      <w:pPr>
        <w:spacing w:before="240" w:after="0"/>
      </w:pPr>
    </w:p>
    <w:p w14:paraId="4CAC5C75" w14:textId="76B86EC0" w:rsidR="006E2402" w:rsidRPr="006E2402" w:rsidRDefault="00244ADB" w:rsidP="00DE7CF7">
      <w:pPr>
        <w:rPr>
          <w:b/>
          <w:bCs/>
        </w:rPr>
      </w:pPr>
      <w:r>
        <w:rPr>
          <w:b/>
          <w:bCs/>
        </w:rPr>
        <w:t>8. Clos</w:t>
      </w:r>
      <w:r w:rsidR="00E65D35">
        <w:rPr>
          <w:b/>
          <w:bCs/>
        </w:rPr>
        <w:t>e</w:t>
      </w:r>
    </w:p>
    <w:p w14:paraId="4A635195" w14:textId="47E92055" w:rsidR="006E2402" w:rsidRDefault="00A95EA3" w:rsidP="00DE7CF7">
      <w:r w:rsidRPr="006E2402">
        <w:rPr>
          <w:b/>
          <w:bCs/>
        </w:rPr>
        <w:t>Next meeting</w:t>
      </w:r>
      <w:r>
        <w:rPr>
          <w:b/>
          <w:bCs/>
        </w:rPr>
        <w:t xml:space="preserve"> -</w:t>
      </w:r>
      <w:r>
        <w:t xml:space="preserve"> </w:t>
      </w:r>
      <w:r w:rsidR="004F48D9">
        <w:t>9 March</w:t>
      </w:r>
      <w:r w:rsidR="00E01421">
        <w:t xml:space="preserve"> – Quarterly all of committee meeting</w:t>
      </w:r>
    </w:p>
    <w:p w14:paraId="1A8A0077" w14:textId="77777777" w:rsidR="00E65D35" w:rsidRDefault="00E65D35" w:rsidP="00DE7CF7"/>
    <w:p w14:paraId="0C49FA85" w14:textId="1C7DA0AE" w:rsidR="005760D7" w:rsidRPr="00961C74" w:rsidRDefault="005760D7" w:rsidP="00DE7CF7">
      <w:r>
        <w:t>-END-</w:t>
      </w:r>
    </w:p>
    <w:sectPr w:rsidR="005760D7" w:rsidRPr="00961C7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68AF" w14:textId="77777777" w:rsidR="004F27A1" w:rsidRDefault="004F27A1" w:rsidP="00E12DF0">
      <w:pPr>
        <w:spacing w:after="0" w:line="240" w:lineRule="auto"/>
      </w:pPr>
      <w:r>
        <w:separator/>
      </w:r>
    </w:p>
  </w:endnote>
  <w:endnote w:type="continuationSeparator" w:id="0">
    <w:p w14:paraId="0D3202D0" w14:textId="77777777" w:rsidR="004F27A1" w:rsidRDefault="004F27A1" w:rsidP="00E12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E721" w14:textId="77777777" w:rsidR="00EC5899" w:rsidRDefault="00EC5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76484"/>
      <w:docPartObj>
        <w:docPartGallery w:val="Page Numbers (Bottom of Page)"/>
        <w:docPartUnique/>
      </w:docPartObj>
    </w:sdtPr>
    <w:sdtEndPr>
      <w:rPr>
        <w:noProof/>
      </w:rPr>
    </w:sdtEndPr>
    <w:sdtContent>
      <w:p w14:paraId="1B28E164" w14:textId="70B7A004" w:rsidR="00E12DF0" w:rsidRDefault="00E12D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483D0F" w14:textId="77777777" w:rsidR="00E12DF0" w:rsidRDefault="00E12D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A587" w14:textId="77777777" w:rsidR="00EC5899" w:rsidRDefault="00EC5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380E" w14:textId="77777777" w:rsidR="004F27A1" w:rsidRDefault="004F27A1" w:rsidP="00E12DF0">
      <w:pPr>
        <w:spacing w:after="0" w:line="240" w:lineRule="auto"/>
      </w:pPr>
      <w:r>
        <w:separator/>
      </w:r>
    </w:p>
  </w:footnote>
  <w:footnote w:type="continuationSeparator" w:id="0">
    <w:p w14:paraId="5C748031" w14:textId="77777777" w:rsidR="004F27A1" w:rsidRDefault="004F27A1" w:rsidP="00E12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30D7" w14:textId="77777777" w:rsidR="00EC5899" w:rsidRDefault="00EC5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048324"/>
      <w:docPartObj>
        <w:docPartGallery w:val="Watermarks"/>
        <w:docPartUnique/>
      </w:docPartObj>
    </w:sdtPr>
    <w:sdtEndPr/>
    <w:sdtContent>
      <w:p w14:paraId="3FF4BBA4" w14:textId="5B5E28EC" w:rsidR="00EC5899" w:rsidRDefault="00981019">
        <w:pPr>
          <w:pStyle w:val="Header"/>
        </w:pPr>
        <w:r>
          <w:rPr>
            <w:noProof/>
          </w:rPr>
          <w:pict w14:anchorId="77A02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AEAC" w14:textId="77777777" w:rsidR="00EC5899" w:rsidRDefault="00EC5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3042"/>
    <w:multiLevelType w:val="hybridMultilevel"/>
    <w:tmpl w:val="3F6A1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04EB9"/>
    <w:multiLevelType w:val="hybridMultilevel"/>
    <w:tmpl w:val="91002E80"/>
    <w:lvl w:ilvl="0" w:tplc="02EC8A9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653DB"/>
    <w:multiLevelType w:val="hybridMultilevel"/>
    <w:tmpl w:val="3A0C6A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8B691B"/>
    <w:multiLevelType w:val="hybridMultilevel"/>
    <w:tmpl w:val="0980D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E26C50"/>
    <w:multiLevelType w:val="hybridMultilevel"/>
    <w:tmpl w:val="34BEE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077414"/>
    <w:multiLevelType w:val="hybridMultilevel"/>
    <w:tmpl w:val="00C61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732586"/>
    <w:multiLevelType w:val="hybridMultilevel"/>
    <w:tmpl w:val="584606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5175A8"/>
    <w:multiLevelType w:val="hybridMultilevel"/>
    <w:tmpl w:val="E93AD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860B18"/>
    <w:multiLevelType w:val="hybridMultilevel"/>
    <w:tmpl w:val="8C66A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4A01C0"/>
    <w:multiLevelType w:val="hybridMultilevel"/>
    <w:tmpl w:val="4A62F414"/>
    <w:lvl w:ilvl="0" w:tplc="02EC8A9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9F7387"/>
    <w:multiLevelType w:val="hybridMultilevel"/>
    <w:tmpl w:val="3B36E23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4646BA4"/>
    <w:multiLevelType w:val="hybridMultilevel"/>
    <w:tmpl w:val="8A881896"/>
    <w:lvl w:ilvl="0" w:tplc="BCAA73F4">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8C49A8"/>
    <w:multiLevelType w:val="hybridMultilevel"/>
    <w:tmpl w:val="ED18522C"/>
    <w:lvl w:ilvl="0" w:tplc="BCAA73F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8B5CAB"/>
    <w:multiLevelType w:val="hybridMultilevel"/>
    <w:tmpl w:val="AD4E33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A95123"/>
    <w:multiLevelType w:val="hybridMultilevel"/>
    <w:tmpl w:val="E1E25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D66AA"/>
    <w:multiLevelType w:val="hybridMultilevel"/>
    <w:tmpl w:val="91B0B7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7E6DD0"/>
    <w:multiLevelType w:val="hybridMultilevel"/>
    <w:tmpl w:val="4B569EDA"/>
    <w:lvl w:ilvl="0" w:tplc="02EC8A9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A76CEF"/>
    <w:multiLevelType w:val="hybridMultilevel"/>
    <w:tmpl w:val="BD2A85C0"/>
    <w:lvl w:ilvl="0" w:tplc="02EC8A9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84A64D4"/>
    <w:multiLevelType w:val="hybridMultilevel"/>
    <w:tmpl w:val="3B26B3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D451B0"/>
    <w:multiLevelType w:val="hybridMultilevel"/>
    <w:tmpl w:val="43C43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3B3905"/>
    <w:multiLevelType w:val="hybridMultilevel"/>
    <w:tmpl w:val="B526FD64"/>
    <w:lvl w:ilvl="0" w:tplc="BCAA73F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2F520B"/>
    <w:multiLevelType w:val="hybridMultilevel"/>
    <w:tmpl w:val="53CE8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242720"/>
    <w:multiLevelType w:val="hybridMultilevel"/>
    <w:tmpl w:val="0A2A3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A17481"/>
    <w:multiLevelType w:val="hybridMultilevel"/>
    <w:tmpl w:val="83A85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D27705"/>
    <w:multiLevelType w:val="hybridMultilevel"/>
    <w:tmpl w:val="B3DCA9A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8844934">
    <w:abstractNumId w:val="18"/>
  </w:num>
  <w:num w:numId="2" w16cid:durableId="1397124457">
    <w:abstractNumId w:val="5"/>
  </w:num>
  <w:num w:numId="3" w16cid:durableId="1125545210">
    <w:abstractNumId w:val="20"/>
  </w:num>
  <w:num w:numId="4" w16cid:durableId="310404839">
    <w:abstractNumId w:val="11"/>
  </w:num>
  <w:num w:numId="5" w16cid:durableId="780420806">
    <w:abstractNumId w:val="12"/>
  </w:num>
  <w:num w:numId="6" w16cid:durableId="527106352">
    <w:abstractNumId w:val="24"/>
  </w:num>
  <w:num w:numId="7" w16cid:durableId="127747806">
    <w:abstractNumId w:val="19"/>
  </w:num>
  <w:num w:numId="8" w16cid:durableId="1336762797">
    <w:abstractNumId w:val="22"/>
  </w:num>
  <w:num w:numId="9" w16cid:durableId="1081367715">
    <w:abstractNumId w:val="10"/>
  </w:num>
  <w:num w:numId="10" w16cid:durableId="996805921">
    <w:abstractNumId w:val="15"/>
  </w:num>
  <w:num w:numId="11" w16cid:durableId="1039479412">
    <w:abstractNumId w:val="7"/>
  </w:num>
  <w:num w:numId="12" w16cid:durableId="6950884">
    <w:abstractNumId w:val="23"/>
  </w:num>
  <w:num w:numId="13" w16cid:durableId="793712375">
    <w:abstractNumId w:val="9"/>
  </w:num>
  <w:num w:numId="14" w16cid:durableId="123937197">
    <w:abstractNumId w:val="17"/>
  </w:num>
  <w:num w:numId="15" w16cid:durableId="1434863349">
    <w:abstractNumId w:val="16"/>
  </w:num>
  <w:num w:numId="16" w16cid:durableId="266697398">
    <w:abstractNumId w:val="1"/>
  </w:num>
  <w:num w:numId="17" w16cid:durableId="1510563884">
    <w:abstractNumId w:val="2"/>
  </w:num>
  <w:num w:numId="18" w16cid:durableId="13965650">
    <w:abstractNumId w:val="14"/>
  </w:num>
  <w:num w:numId="19" w16cid:durableId="1727291885">
    <w:abstractNumId w:val="6"/>
  </w:num>
  <w:num w:numId="20" w16cid:durableId="63918268">
    <w:abstractNumId w:val="13"/>
  </w:num>
  <w:num w:numId="21" w16cid:durableId="2127849408">
    <w:abstractNumId w:val="4"/>
  </w:num>
  <w:num w:numId="22" w16cid:durableId="473566248">
    <w:abstractNumId w:val="3"/>
  </w:num>
  <w:num w:numId="23" w16cid:durableId="842159631">
    <w:abstractNumId w:val="8"/>
  </w:num>
  <w:num w:numId="24" w16cid:durableId="641349733">
    <w:abstractNumId w:val="21"/>
  </w:num>
  <w:num w:numId="25" w16cid:durableId="1136603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3C"/>
    <w:rsid w:val="00003D0B"/>
    <w:rsid w:val="000051E6"/>
    <w:rsid w:val="00005DFB"/>
    <w:rsid w:val="0000759A"/>
    <w:rsid w:val="000156F7"/>
    <w:rsid w:val="000218B6"/>
    <w:rsid w:val="00022FAD"/>
    <w:rsid w:val="00057141"/>
    <w:rsid w:val="00057165"/>
    <w:rsid w:val="000701EF"/>
    <w:rsid w:val="0007055D"/>
    <w:rsid w:val="00071D4F"/>
    <w:rsid w:val="00073706"/>
    <w:rsid w:val="000800AF"/>
    <w:rsid w:val="00081C0C"/>
    <w:rsid w:val="0008568A"/>
    <w:rsid w:val="00087D5A"/>
    <w:rsid w:val="000B2908"/>
    <w:rsid w:val="000B360B"/>
    <w:rsid w:val="000C782D"/>
    <w:rsid w:val="000D16FF"/>
    <w:rsid w:val="000D2C61"/>
    <w:rsid w:val="000E33F8"/>
    <w:rsid w:val="00122B87"/>
    <w:rsid w:val="00123B57"/>
    <w:rsid w:val="00136277"/>
    <w:rsid w:val="001764A1"/>
    <w:rsid w:val="00187CC3"/>
    <w:rsid w:val="001A2C8E"/>
    <w:rsid w:val="001B069B"/>
    <w:rsid w:val="001B0A13"/>
    <w:rsid w:val="001C7F8B"/>
    <w:rsid w:val="001D41C9"/>
    <w:rsid w:val="001E4F9D"/>
    <w:rsid w:val="001F5AC2"/>
    <w:rsid w:val="00206C88"/>
    <w:rsid w:val="00212FBC"/>
    <w:rsid w:val="0022086D"/>
    <w:rsid w:val="00223F04"/>
    <w:rsid w:val="00224328"/>
    <w:rsid w:val="002428FD"/>
    <w:rsid w:val="00244ADB"/>
    <w:rsid w:val="00255AF6"/>
    <w:rsid w:val="00284DB8"/>
    <w:rsid w:val="0029493C"/>
    <w:rsid w:val="00295823"/>
    <w:rsid w:val="00296E7A"/>
    <w:rsid w:val="002B0BB9"/>
    <w:rsid w:val="002C0833"/>
    <w:rsid w:val="002C1472"/>
    <w:rsid w:val="002C6D05"/>
    <w:rsid w:val="002D0E63"/>
    <w:rsid w:val="002D6E69"/>
    <w:rsid w:val="002E03D2"/>
    <w:rsid w:val="002F6B5D"/>
    <w:rsid w:val="0031387F"/>
    <w:rsid w:val="00330554"/>
    <w:rsid w:val="003350D3"/>
    <w:rsid w:val="00352C1D"/>
    <w:rsid w:val="00372205"/>
    <w:rsid w:val="00376EE2"/>
    <w:rsid w:val="00377D48"/>
    <w:rsid w:val="00380AA7"/>
    <w:rsid w:val="00382DF7"/>
    <w:rsid w:val="0038542F"/>
    <w:rsid w:val="003941AC"/>
    <w:rsid w:val="003A2B4B"/>
    <w:rsid w:val="003A5374"/>
    <w:rsid w:val="003C5BEE"/>
    <w:rsid w:val="003D07CC"/>
    <w:rsid w:val="003D28E1"/>
    <w:rsid w:val="003E2429"/>
    <w:rsid w:val="003F30FD"/>
    <w:rsid w:val="00402BBD"/>
    <w:rsid w:val="00407037"/>
    <w:rsid w:val="00411196"/>
    <w:rsid w:val="0042221F"/>
    <w:rsid w:val="00427533"/>
    <w:rsid w:val="00430985"/>
    <w:rsid w:val="00443BAF"/>
    <w:rsid w:val="004442B8"/>
    <w:rsid w:val="004504DF"/>
    <w:rsid w:val="004520CE"/>
    <w:rsid w:val="0046468D"/>
    <w:rsid w:val="0047200C"/>
    <w:rsid w:val="00475DC5"/>
    <w:rsid w:val="004973D3"/>
    <w:rsid w:val="004B5DFE"/>
    <w:rsid w:val="004C28F9"/>
    <w:rsid w:val="004E00BB"/>
    <w:rsid w:val="004F0164"/>
    <w:rsid w:val="004F27A1"/>
    <w:rsid w:val="004F3383"/>
    <w:rsid w:val="004F4008"/>
    <w:rsid w:val="004F48D9"/>
    <w:rsid w:val="00505FB6"/>
    <w:rsid w:val="005070A4"/>
    <w:rsid w:val="0052348B"/>
    <w:rsid w:val="00550F6B"/>
    <w:rsid w:val="00566DA3"/>
    <w:rsid w:val="005760D7"/>
    <w:rsid w:val="00576315"/>
    <w:rsid w:val="005812C6"/>
    <w:rsid w:val="00582CF8"/>
    <w:rsid w:val="0059564B"/>
    <w:rsid w:val="00596AD8"/>
    <w:rsid w:val="005A031C"/>
    <w:rsid w:val="005B6141"/>
    <w:rsid w:val="005C7F20"/>
    <w:rsid w:val="005E04B1"/>
    <w:rsid w:val="005F0B8F"/>
    <w:rsid w:val="00603312"/>
    <w:rsid w:val="00610428"/>
    <w:rsid w:val="00613B39"/>
    <w:rsid w:val="006219C6"/>
    <w:rsid w:val="006307A9"/>
    <w:rsid w:val="00632ADF"/>
    <w:rsid w:val="00633A7E"/>
    <w:rsid w:val="006350BD"/>
    <w:rsid w:val="00636F40"/>
    <w:rsid w:val="00647F77"/>
    <w:rsid w:val="006545C9"/>
    <w:rsid w:val="00654E24"/>
    <w:rsid w:val="00661491"/>
    <w:rsid w:val="00682142"/>
    <w:rsid w:val="006856B0"/>
    <w:rsid w:val="006950C9"/>
    <w:rsid w:val="006B3A80"/>
    <w:rsid w:val="006B3A89"/>
    <w:rsid w:val="006B6DBC"/>
    <w:rsid w:val="006B799E"/>
    <w:rsid w:val="006C4F58"/>
    <w:rsid w:val="006D3CEE"/>
    <w:rsid w:val="006E04CF"/>
    <w:rsid w:val="006E0BA9"/>
    <w:rsid w:val="006E2402"/>
    <w:rsid w:val="006E7827"/>
    <w:rsid w:val="006F1742"/>
    <w:rsid w:val="0071504C"/>
    <w:rsid w:val="0072566F"/>
    <w:rsid w:val="00735C3D"/>
    <w:rsid w:val="00741BB0"/>
    <w:rsid w:val="0074282D"/>
    <w:rsid w:val="0074368B"/>
    <w:rsid w:val="00780E87"/>
    <w:rsid w:val="007864BD"/>
    <w:rsid w:val="00791E6D"/>
    <w:rsid w:val="007A72BB"/>
    <w:rsid w:val="007B1284"/>
    <w:rsid w:val="007C7E82"/>
    <w:rsid w:val="0081570D"/>
    <w:rsid w:val="008317A0"/>
    <w:rsid w:val="008513BF"/>
    <w:rsid w:val="00855514"/>
    <w:rsid w:val="00861E54"/>
    <w:rsid w:val="00867553"/>
    <w:rsid w:val="00872831"/>
    <w:rsid w:val="00886762"/>
    <w:rsid w:val="008868C6"/>
    <w:rsid w:val="008917AE"/>
    <w:rsid w:val="0089321E"/>
    <w:rsid w:val="00896055"/>
    <w:rsid w:val="008A12ED"/>
    <w:rsid w:val="008B59D5"/>
    <w:rsid w:val="008B6BCE"/>
    <w:rsid w:val="008C4C84"/>
    <w:rsid w:val="008D1A14"/>
    <w:rsid w:val="008D2C5E"/>
    <w:rsid w:val="008E1BCA"/>
    <w:rsid w:val="008E311D"/>
    <w:rsid w:val="008E71FB"/>
    <w:rsid w:val="008F0EF3"/>
    <w:rsid w:val="0090753A"/>
    <w:rsid w:val="0091129E"/>
    <w:rsid w:val="00935C0E"/>
    <w:rsid w:val="00937F4C"/>
    <w:rsid w:val="00952198"/>
    <w:rsid w:val="00961C74"/>
    <w:rsid w:val="00964B26"/>
    <w:rsid w:val="00981019"/>
    <w:rsid w:val="009B46B0"/>
    <w:rsid w:val="009C3698"/>
    <w:rsid w:val="009C3DF3"/>
    <w:rsid w:val="009C4E3F"/>
    <w:rsid w:val="009C6083"/>
    <w:rsid w:val="009D4CD3"/>
    <w:rsid w:val="009E28C0"/>
    <w:rsid w:val="009E58E6"/>
    <w:rsid w:val="009F0DF7"/>
    <w:rsid w:val="00A3331B"/>
    <w:rsid w:val="00A342B9"/>
    <w:rsid w:val="00A351C3"/>
    <w:rsid w:val="00A3578A"/>
    <w:rsid w:val="00A42B4E"/>
    <w:rsid w:val="00A42B85"/>
    <w:rsid w:val="00A4350B"/>
    <w:rsid w:val="00A702A6"/>
    <w:rsid w:val="00A72DE6"/>
    <w:rsid w:val="00A73F32"/>
    <w:rsid w:val="00A74165"/>
    <w:rsid w:val="00A756B3"/>
    <w:rsid w:val="00A95EA3"/>
    <w:rsid w:val="00AA2432"/>
    <w:rsid w:val="00AC111B"/>
    <w:rsid w:val="00AC503C"/>
    <w:rsid w:val="00AD11C6"/>
    <w:rsid w:val="00AE6CBF"/>
    <w:rsid w:val="00B001CF"/>
    <w:rsid w:val="00B04B88"/>
    <w:rsid w:val="00B073FC"/>
    <w:rsid w:val="00B20405"/>
    <w:rsid w:val="00B23A00"/>
    <w:rsid w:val="00B24C15"/>
    <w:rsid w:val="00B32497"/>
    <w:rsid w:val="00B5556E"/>
    <w:rsid w:val="00B74646"/>
    <w:rsid w:val="00B77298"/>
    <w:rsid w:val="00B83604"/>
    <w:rsid w:val="00B86E98"/>
    <w:rsid w:val="00B95DEE"/>
    <w:rsid w:val="00BA00D6"/>
    <w:rsid w:val="00BC055C"/>
    <w:rsid w:val="00BC1399"/>
    <w:rsid w:val="00BC768F"/>
    <w:rsid w:val="00BD18A4"/>
    <w:rsid w:val="00BD28DC"/>
    <w:rsid w:val="00BD5A16"/>
    <w:rsid w:val="00BE2A48"/>
    <w:rsid w:val="00BF5CFA"/>
    <w:rsid w:val="00C22EEC"/>
    <w:rsid w:val="00C669C6"/>
    <w:rsid w:val="00C712AC"/>
    <w:rsid w:val="00C73BAE"/>
    <w:rsid w:val="00C74D16"/>
    <w:rsid w:val="00C74E98"/>
    <w:rsid w:val="00C95CCF"/>
    <w:rsid w:val="00CA4C3C"/>
    <w:rsid w:val="00CD2C9D"/>
    <w:rsid w:val="00CE0EC1"/>
    <w:rsid w:val="00CE3F56"/>
    <w:rsid w:val="00D008F0"/>
    <w:rsid w:val="00D020F7"/>
    <w:rsid w:val="00D021F8"/>
    <w:rsid w:val="00D036A7"/>
    <w:rsid w:val="00D12633"/>
    <w:rsid w:val="00D15E79"/>
    <w:rsid w:val="00D209CE"/>
    <w:rsid w:val="00D41032"/>
    <w:rsid w:val="00D446E6"/>
    <w:rsid w:val="00D55DAD"/>
    <w:rsid w:val="00D56B1A"/>
    <w:rsid w:val="00D5779E"/>
    <w:rsid w:val="00D62BF6"/>
    <w:rsid w:val="00D65C6E"/>
    <w:rsid w:val="00D966D3"/>
    <w:rsid w:val="00DC24CB"/>
    <w:rsid w:val="00DE0A28"/>
    <w:rsid w:val="00DE74E2"/>
    <w:rsid w:val="00DE7CF7"/>
    <w:rsid w:val="00DF2411"/>
    <w:rsid w:val="00E01421"/>
    <w:rsid w:val="00E0231F"/>
    <w:rsid w:val="00E04509"/>
    <w:rsid w:val="00E054CC"/>
    <w:rsid w:val="00E12DF0"/>
    <w:rsid w:val="00E156BF"/>
    <w:rsid w:val="00E15833"/>
    <w:rsid w:val="00E1626D"/>
    <w:rsid w:val="00E248DF"/>
    <w:rsid w:val="00E27347"/>
    <w:rsid w:val="00E30C3B"/>
    <w:rsid w:val="00E31CD5"/>
    <w:rsid w:val="00E340CE"/>
    <w:rsid w:val="00E40EB6"/>
    <w:rsid w:val="00E451C5"/>
    <w:rsid w:val="00E45BC2"/>
    <w:rsid w:val="00E65D35"/>
    <w:rsid w:val="00E747BC"/>
    <w:rsid w:val="00E94074"/>
    <w:rsid w:val="00E94B8A"/>
    <w:rsid w:val="00E977CB"/>
    <w:rsid w:val="00EA2D6B"/>
    <w:rsid w:val="00EB2E3A"/>
    <w:rsid w:val="00EC5899"/>
    <w:rsid w:val="00EF3713"/>
    <w:rsid w:val="00EF703C"/>
    <w:rsid w:val="00F104F0"/>
    <w:rsid w:val="00F14608"/>
    <w:rsid w:val="00F21DC1"/>
    <w:rsid w:val="00F30343"/>
    <w:rsid w:val="00F35A5E"/>
    <w:rsid w:val="00F37A73"/>
    <w:rsid w:val="00F37CED"/>
    <w:rsid w:val="00F44FAD"/>
    <w:rsid w:val="00F50A30"/>
    <w:rsid w:val="00F53E82"/>
    <w:rsid w:val="00F61374"/>
    <w:rsid w:val="00F72712"/>
    <w:rsid w:val="00F81D98"/>
    <w:rsid w:val="00F82708"/>
    <w:rsid w:val="00F8366F"/>
    <w:rsid w:val="00F8521A"/>
    <w:rsid w:val="00F92660"/>
    <w:rsid w:val="00F93150"/>
    <w:rsid w:val="00F93C68"/>
    <w:rsid w:val="00F94283"/>
    <w:rsid w:val="00F970FA"/>
    <w:rsid w:val="00FA5DE8"/>
    <w:rsid w:val="00FB70DC"/>
    <w:rsid w:val="00FC4C4F"/>
    <w:rsid w:val="00FC73AF"/>
    <w:rsid w:val="00FE67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9344C5"/>
  <w15:chartTrackingRefBased/>
  <w15:docId w15:val="{9A53844A-B5F1-46B7-9596-F7F261CA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50B"/>
  </w:style>
  <w:style w:type="paragraph" w:styleId="Heading1">
    <w:name w:val="heading 1"/>
    <w:basedOn w:val="Normal"/>
    <w:next w:val="Normal"/>
    <w:link w:val="Heading1Char"/>
    <w:uiPriority w:val="9"/>
    <w:qFormat/>
    <w:rsid w:val="00613B39"/>
    <w:pPr>
      <w:keepNext/>
      <w:keepLines/>
      <w:spacing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B39"/>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3B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3B39"/>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B79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99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61C74"/>
    <w:pPr>
      <w:ind w:left="720"/>
      <w:contextualSpacing/>
    </w:pPr>
  </w:style>
  <w:style w:type="paragraph" w:styleId="Header">
    <w:name w:val="header"/>
    <w:basedOn w:val="Normal"/>
    <w:link w:val="HeaderChar"/>
    <w:uiPriority w:val="99"/>
    <w:unhideWhenUsed/>
    <w:rsid w:val="00E12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DF0"/>
  </w:style>
  <w:style w:type="paragraph" w:styleId="Footer">
    <w:name w:val="footer"/>
    <w:basedOn w:val="Normal"/>
    <w:link w:val="FooterChar"/>
    <w:uiPriority w:val="99"/>
    <w:unhideWhenUsed/>
    <w:rsid w:val="00E12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DF0"/>
  </w:style>
  <w:style w:type="paragraph" w:customStyle="1" w:styleId="gmail-m-4487721530287376125msolistparagraph">
    <w:name w:val="gmail-m_-4487721530287376125msolistparagraph"/>
    <w:basedOn w:val="Normal"/>
    <w:rsid w:val="0072566F"/>
    <w:pPr>
      <w:spacing w:before="100" w:beforeAutospacing="1" w:after="100" w:afterAutospacing="1" w:line="240" w:lineRule="auto"/>
    </w:pPr>
    <w:rPr>
      <w:rFonts w:ascii="Calibri" w:hAnsi="Calibri" w:cs="Calibri"/>
      <w:lang w:val="en-US"/>
    </w:rPr>
  </w:style>
  <w:style w:type="character" w:styleId="CommentReference">
    <w:name w:val="annotation reference"/>
    <w:basedOn w:val="DefaultParagraphFont"/>
    <w:uiPriority w:val="99"/>
    <w:semiHidden/>
    <w:unhideWhenUsed/>
    <w:rsid w:val="0038542F"/>
    <w:rPr>
      <w:sz w:val="16"/>
      <w:szCs w:val="16"/>
    </w:rPr>
  </w:style>
  <w:style w:type="paragraph" w:styleId="CommentText">
    <w:name w:val="annotation text"/>
    <w:basedOn w:val="Normal"/>
    <w:link w:val="CommentTextChar"/>
    <w:uiPriority w:val="99"/>
    <w:semiHidden/>
    <w:unhideWhenUsed/>
    <w:rsid w:val="0038542F"/>
    <w:pPr>
      <w:spacing w:line="240" w:lineRule="auto"/>
    </w:pPr>
    <w:rPr>
      <w:sz w:val="20"/>
      <w:szCs w:val="20"/>
    </w:rPr>
  </w:style>
  <w:style w:type="character" w:customStyle="1" w:styleId="CommentTextChar">
    <w:name w:val="Comment Text Char"/>
    <w:basedOn w:val="DefaultParagraphFont"/>
    <w:link w:val="CommentText"/>
    <w:uiPriority w:val="99"/>
    <w:semiHidden/>
    <w:rsid w:val="0038542F"/>
    <w:rPr>
      <w:sz w:val="20"/>
      <w:szCs w:val="20"/>
    </w:rPr>
  </w:style>
  <w:style w:type="paragraph" w:styleId="CommentSubject">
    <w:name w:val="annotation subject"/>
    <w:basedOn w:val="CommentText"/>
    <w:next w:val="CommentText"/>
    <w:link w:val="CommentSubjectChar"/>
    <w:uiPriority w:val="99"/>
    <w:semiHidden/>
    <w:unhideWhenUsed/>
    <w:rsid w:val="0038542F"/>
    <w:rPr>
      <w:b/>
      <w:bCs/>
    </w:rPr>
  </w:style>
  <w:style w:type="character" w:customStyle="1" w:styleId="CommentSubjectChar">
    <w:name w:val="Comment Subject Char"/>
    <w:basedOn w:val="CommentTextChar"/>
    <w:link w:val="CommentSubject"/>
    <w:uiPriority w:val="99"/>
    <w:semiHidden/>
    <w:rsid w:val="0038542F"/>
    <w:rPr>
      <w:b/>
      <w:bCs/>
      <w:sz w:val="20"/>
      <w:szCs w:val="20"/>
    </w:rPr>
  </w:style>
  <w:style w:type="paragraph" w:styleId="BalloonText">
    <w:name w:val="Balloon Text"/>
    <w:basedOn w:val="Normal"/>
    <w:link w:val="BalloonTextChar"/>
    <w:uiPriority w:val="99"/>
    <w:semiHidden/>
    <w:unhideWhenUsed/>
    <w:rsid w:val="00385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42F"/>
    <w:rPr>
      <w:rFonts w:ascii="Segoe UI" w:hAnsi="Segoe UI" w:cs="Segoe UI"/>
      <w:sz w:val="18"/>
      <w:szCs w:val="18"/>
    </w:rPr>
  </w:style>
  <w:style w:type="paragraph" w:styleId="Revision">
    <w:name w:val="Revision"/>
    <w:hidden/>
    <w:uiPriority w:val="99"/>
    <w:semiHidden/>
    <w:rsid w:val="009810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9B5EF7DB40348922E7B26051B1CF0" ma:contentTypeVersion="2" ma:contentTypeDescription="Create a new document." ma:contentTypeScope="" ma:versionID="3f550b536d9134b95202b1c2684d6139">
  <xsd:schema xmlns:xsd="http://www.w3.org/2001/XMLSchema" xmlns:xs="http://www.w3.org/2001/XMLSchema" xmlns:p="http://schemas.microsoft.com/office/2006/metadata/properties" xmlns:ns2="4bdfcb1a-d7c8-44df-87c5-ad401b2222c5" targetNamespace="http://schemas.microsoft.com/office/2006/metadata/properties" ma:root="true" ma:fieldsID="cf67f88ee23acff32bef3f06b4f0e84e" ns2:_="">
    <xsd:import namespace="4bdfcb1a-d7c8-44df-87c5-ad401b2222c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fcb1a-d7c8-44df-87c5-ad401b222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19039-A54E-468A-89D0-951021456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fcb1a-d7c8-44df-87c5-ad401b222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3B142E-F11A-491F-AAF6-FC1761D151C9}">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4bdfcb1a-d7c8-44df-87c5-ad401b2222c5"/>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B03F7F3-B411-4E62-91F4-73141C04E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Latham</dc:creator>
  <cp:keywords/>
  <dc:description/>
  <cp:lastModifiedBy>Dr Cath Latham</cp:lastModifiedBy>
  <cp:revision>3</cp:revision>
  <dcterms:created xsi:type="dcterms:W3CDTF">2023-02-24T09:52:00Z</dcterms:created>
  <dcterms:modified xsi:type="dcterms:W3CDTF">2023-05-08T03:33:00Z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0x01010098C9B5EF7DB40348922E7B26051B1CF0</vt:lpwstr>
  </property>
</Properties>
</file>